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397"/>
      </w:tblGrid>
      <w:tr w:rsidR="00D1300B" w:rsidTr="0002113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111A4D">
            <w:pPr>
              <w:jc w:val="center"/>
              <w:rPr>
                <w:rFonts w:ascii="Arial" w:hAnsi="Arial"/>
                <w:lang w:val="en-GB"/>
              </w:rPr>
            </w:pPr>
            <w:r>
              <w:rPr>
                <w:rFonts w:ascii="Arial" w:hAnsi="Arial" w:cs="Arial"/>
                <w:noProof/>
                <w:sz w:val="22"/>
                <w:szCs w:val="22"/>
                <w:lang w:val="en-CA" w:eastAsia="en-CA"/>
              </w:rPr>
              <w:drawing>
                <wp:inline distT="0" distB="0" distL="0" distR="0" wp14:anchorId="335025DC" wp14:editId="24C949E2">
                  <wp:extent cx="944880" cy="1371600"/>
                  <wp:effectExtent l="0" t="0" r="7620" b="0"/>
                  <wp:docPr id="1" name="Picture 1" descr="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1371600"/>
                          </a:xfrm>
                          <a:prstGeom prst="rect">
                            <a:avLst/>
                          </a:prstGeom>
                          <a:noFill/>
                          <a:ln>
                            <a:noFill/>
                          </a:ln>
                        </pic:spPr>
                      </pic:pic>
                    </a:graphicData>
                  </a:graphic>
                </wp:inline>
              </w:drawing>
            </w:r>
          </w:p>
          <w:p w:rsidR="00111A4D" w:rsidRDefault="00111A4D">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824A4">
            <w:pPr>
              <w:rPr>
                <w:rFonts w:ascii="Arial" w:hAnsi="Arial"/>
              </w:rPr>
            </w:pPr>
            <w:r>
              <w:rPr>
                <w:rFonts w:ascii="Arial" w:hAnsi="Arial"/>
              </w:rPr>
              <w:t>Nursing Research II</w:t>
            </w:r>
          </w:p>
        </w:tc>
      </w:tr>
      <w:tr w:rsidR="00D1300B" w:rsidTr="0002113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824A4">
            <w:pPr>
              <w:rPr>
                <w:rFonts w:ascii="Arial" w:hAnsi="Arial"/>
              </w:rPr>
            </w:pPr>
            <w:proofErr w:type="spellStart"/>
            <w:r>
              <w:rPr>
                <w:rFonts w:ascii="Arial" w:hAnsi="Arial"/>
              </w:rPr>
              <w:t>NURS</w:t>
            </w:r>
            <w:proofErr w:type="spellEnd"/>
            <w:r>
              <w:rPr>
                <w:rFonts w:ascii="Arial" w:hAnsi="Arial"/>
              </w:rPr>
              <w:t xml:space="preserve"> 4416</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E824A4">
            <w:pPr>
              <w:rPr>
                <w:rFonts w:ascii="Arial" w:hAnsi="Arial"/>
              </w:rPr>
            </w:pPr>
            <w:r>
              <w:rPr>
                <w:rFonts w:ascii="Arial" w:hAnsi="Arial"/>
              </w:rPr>
              <w:t>7</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 xml:space="preserve">Collaborative </w:t>
            </w:r>
            <w:proofErr w:type="spellStart"/>
            <w:r>
              <w:rPr>
                <w:rFonts w:ascii="Arial" w:hAnsi="Arial"/>
              </w:rPr>
              <w:t>BScN</w:t>
            </w:r>
            <w:proofErr w:type="spellEnd"/>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Pr="00157B66" w:rsidRDefault="00157B66" w:rsidP="00157B66">
            <w:pPr>
              <w:widowControl w:val="0"/>
              <w:tabs>
                <w:tab w:val="left" w:pos="-720"/>
                <w:tab w:val="left" w:pos="2"/>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 w:hanging="2"/>
              <w:rPr>
                <w:rFonts w:ascii="Arial" w:hAnsi="Arial" w:cs="Arial"/>
                <w:szCs w:val="24"/>
                <w:lang w:val="en-CA"/>
              </w:rPr>
            </w:pPr>
            <w:r w:rsidRPr="00157B66">
              <w:rPr>
                <w:rFonts w:ascii="Arial" w:hAnsi="Arial" w:cs="Arial"/>
                <w:b/>
                <w:szCs w:val="24"/>
              </w:rPr>
              <w:t xml:space="preserve">Kay Vallee RN, </w:t>
            </w:r>
            <w:proofErr w:type="spellStart"/>
            <w:r w:rsidRPr="00157B66">
              <w:rPr>
                <w:rFonts w:ascii="Arial" w:hAnsi="Arial" w:cs="Arial"/>
                <w:b/>
                <w:szCs w:val="24"/>
              </w:rPr>
              <w:t>MScN</w:t>
            </w:r>
            <w:proofErr w:type="spellEnd"/>
            <w:r w:rsidRPr="00157B66">
              <w:rPr>
                <w:rFonts w:ascii="Arial" w:hAnsi="Arial" w:cs="Arial"/>
                <w:b/>
                <w:szCs w:val="24"/>
              </w:rPr>
              <w:t xml:space="preserve"> (Sault)</w:t>
            </w:r>
            <w:r>
              <w:rPr>
                <w:rFonts w:ascii="Arial" w:hAnsi="Arial" w:cs="Arial"/>
                <w:szCs w:val="24"/>
              </w:rPr>
              <w:t>, Phyllis Montgomery(Laurentian)</w:t>
            </w:r>
            <w:r w:rsidR="00021138">
              <w:rPr>
                <w:rFonts w:ascii="Arial" w:hAnsi="Arial" w:cs="Arial"/>
                <w:szCs w:val="24"/>
                <w:lang w:val="en-CA"/>
              </w:rPr>
              <w:t xml:space="preserve">, </w:t>
            </w:r>
            <w:r w:rsidR="00021138" w:rsidRPr="00021138">
              <w:rPr>
                <w:rFonts w:ascii="Arial" w:hAnsi="Arial" w:cs="Arial"/>
                <w:szCs w:val="24"/>
              </w:rPr>
              <w:t>Annie Boucher (Cambrian), Mona Burrows (Cornwall), Lynn Smith (North</w:t>
            </w:r>
            <w:r>
              <w:rPr>
                <w:rFonts w:ascii="Arial" w:hAnsi="Arial" w:cs="Arial"/>
                <w:szCs w:val="24"/>
              </w:rPr>
              <w:t xml:space="preserve">ern), Chris Davis (Brockville), </w:t>
            </w:r>
            <w:r w:rsidR="00021138" w:rsidRPr="00021138">
              <w:rPr>
                <w:rFonts w:ascii="Arial" w:hAnsi="Arial" w:cs="Arial"/>
                <w:szCs w:val="24"/>
              </w:rPr>
              <w:t xml:space="preserve">Gwen </w:t>
            </w:r>
            <w:proofErr w:type="spellStart"/>
            <w:r w:rsidR="00021138" w:rsidRPr="00021138">
              <w:rPr>
                <w:rFonts w:ascii="Arial" w:hAnsi="Arial" w:cs="Arial"/>
                <w:szCs w:val="24"/>
              </w:rPr>
              <w:t>Duhn</w:t>
            </w:r>
            <w:proofErr w:type="spellEnd"/>
            <w:r w:rsidR="00021138" w:rsidRPr="00021138">
              <w:rPr>
                <w:rFonts w:ascii="Arial" w:hAnsi="Arial" w:cs="Arial"/>
                <w:szCs w:val="24"/>
              </w:rPr>
              <w:t xml:space="preserve"> (Kingston)</w:t>
            </w:r>
          </w:p>
          <w:p w:rsidR="00021138" w:rsidRDefault="00021138" w:rsidP="0002113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rPr>
                <w:rFonts w:ascii="Arial" w:hAnsi="Arial"/>
              </w:rPr>
            </w:pPr>
          </w:p>
        </w:tc>
      </w:tr>
      <w:tr w:rsidR="00D1300B" w:rsidTr="0002113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68020F" w:rsidP="00021138">
            <w:pPr>
              <w:rPr>
                <w:rFonts w:ascii="Arial" w:hAnsi="Arial"/>
              </w:rPr>
            </w:pPr>
            <w:r>
              <w:rPr>
                <w:rFonts w:ascii="Arial" w:hAnsi="Arial"/>
              </w:rPr>
              <w:t>Aug/1</w:t>
            </w:r>
            <w:r w:rsidR="00C64591">
              <w:rPr>
                <w:rFonts w:ascii="Arial" w:hAnsi="Arial"/>
              </w:rPr>
              <w:t>4</w:t>
            </w:r>
          </w:p>
        </w:tc>
        <w:tc>
          <w:tcPr>
            <w:tcW w:w="369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Default="00F06F42" w:rsidP="00021138">
            <w:pPr>
              <w:rPr>
                <w:rFonts w:ascii="Arial" w:hAnsi="Arial"/>
              </w:rPr>
            </w:pPr>
            <w:r>
              <w:rPr>
                <w:rFonts w:ascii="Arial" w:hAnsi="Arial"/>
              </w:rPr>
              <w:t>Aug</w:t>
            </w:r>
            <w:r w:rsidR="0068020F">
              <w:rPr>
                <w:rFonts w:ascii="Arial" w:hAnsi="Arial"/>
              </w:rPr>
              <w:t>/</w:t>
            </w:r>
            <w:r w:rsidR="00C64591">
              <w:rPr>
                <w:rFonts w:ascii="Arial" w:hAnsi="Arial"/>
              </w:rPr>
              <w:t>13</w:t>
            </w:r>
          </w:p>
        </w:tc>
      </w:tr>
      <w:tr w:rsidR="00D1300B" w:rsidTr="00021138">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Pr="004E04BB" w:rsidRDefault="008F5C58" w:rsidP="00C64591">
            <w:pPr>
              <w:jc w:val="center"/>
              <w:rPr>
                <w:rFonts w:ascii="Arial" w:hAnsi="Arial" w:cs="Arial"/>
              </w:rPr>
            </w:pPr>
            <w:r>
              <w:rPr>
                <w:i/>
              </w:rPr>
              <w:t>“Marilyn King”</w:t>
            </w:r>
            <w:bookmarkStart w:id="0" w:name="_GoBack"/>
            <w:bookmarkEnd w:id="0"/>
          </w:p>
        </w:tc>
        <w:tc>
          <w:tcPr>
            <w:tcW w:w="1530" w:type="dxa"/>
            <w:gridSpan w:val="2"/>
          </w:tcPr>
          <w:p w:rsidR="00D1300B" w:rsidRDefault="008F5C58" w:rsidP="00021138">
            <w:pPr>
              <w:rPr>
                <w:rFonts w:ascii="Arial" w:hAnsi="Arial"/>
              </w:rPr>
            </w:pPr>
            <w:r>
              <w:rPr>
                <w:i/>
              </w:rPr>
              <w:t>Aug. 2014</w:t>
            </w:r>
          </w:p>
        </w:tc>
      </w:tr>
      <w:tr w:rsidR="00D1300B" w:rsidTr="00021138">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530" w:type="dxa"/>
            <w:gridSpan w:val="2"/>
          </w:tcPr>
          <w:p w:rsidR="00D1300B" w:rsidRDefault="00D1300B">
            <w:pPr>
              <w:rPr>
                <w:rFonts w:ascii="Arial" w:hAnsi="Arial"/>
                <w:b/>
                <w:lang w:val="en-GB"/>
              </w:rPr>
            </w:pPr>
            <w:r>
              <w:rPr>
                <w:rFonts w:ascii="Arial" w:hAnsi="Arial"/>
                <w:b/>
                <w:lang w:val="en-GB"/>
              </w:rPr>
              <w:t>____</w:t>
            </w:r>
            <w:r w:rsidR="00B82DA3">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E824A4">
            <w:pPr>
              <w:rPr>
                <w:rFonts w:ascii="Arial" w:hAnsi="Arial"/>
              </w:rPr>
            </w:pPr>
            <w:proofErr w:type="spellStart"/>
            <w:r>
              <w:rPr>
                <w:rFonts w:ascii="Arial" w:hAnsi="Arial"/>
              </w:rPr>
              <w:t>NURS</w:t>
            </w:r>
            <w:proofErr w:type="spellEnd"/>
            <w:r>
              <w:rPr>
                <w:rFonts w:ascii="Arial" w:hAnsi="Arial"/>
              </w:rPr>
              <w:t xml:space="preserve"> 3066, </w:t>
            </w:r>
            <w:proofErr w:type="spellStart"/>
            <w:r>
              <w:rPr>
                <w:rFonts w:ascii="Arial" w:hAnsi="Arial"/>
              </w:rPr>
              <w:t>NURS</w:t>
            </w:r>
            <w:proofErr w:type="spellEnd"/>
            <w:r>
              <w:rPr>
                <w:rFonts w:ascii="Arial" w:hAnsi="Arial"/>
              </w:rPr>
              <w:t xml:space="preserve"> 3406, </w:t>
            </w:r>
            <w:proofErr w:type="spellStart"/>
            <w:r>
              <w:rPr>
                <w:rFonts w:ascii="Arial" w:hAnsi="Arial"/>
              </w:rPr>
              <w:t>NURS</w:t>
            </w:r>
            <w:proofErr w:type="spellEnd"/>
            <w:r>
              <w:rPr>
                <w:rFonts w:ascii="Arial" w:hAnsi="Arial"/>
              </w:rPr>
              <w:t xml:space="preserve"> 3416</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021138">
        <w:trPr>
          <w:cantSplit/>
        </w:trPr>
        <w:tc>
          <w:tcPr>
            <w:tcW w:w="9018" w:type="dxa"/>
            <w:gridSpan w:val="6"/>
          </w:tcPr>
          <w:p w:rsidR="00111A4D" w:rsidRPr="00111A4D" w:rsidRDefault="00111A4D" w:rsidP="00111A4D">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EA66A7">
              <w:rPr>
                <w:rFonts w:ascii="Arial" w:hAnsi="Arial"/>
              </w:rPr>
              <w:t>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021138">
        <w:trPr>
          <w:cantSplit/>
        </w:trPr>
        <w:tc>
          <w:tcPr>
            <w:tcW w:w="9018"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rsidTr="00021138">
        <w:trPr>
          <w:cantSplit/>
        </w:trPr>
        <w:tc>
          <w:tcPr>
            <w:tcW w:w="9018" w:type="dxa"/>
            <w:gridSpan w:val="6"/>
          </w:tcPr>
          <w:p w:rsidR="00D1300B" w:rsidRDefault="00D1300B" w:rsidP="00111A4D">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111A4D">
              <w:rPr>
                <w:rFonts w:ascii="Arial" w:hAnsi="Arial"/>
                <w:i/>
                <w:lang w:val="en-GB"/>
              </w:rPr>
              <w:t>Wellness and Continuing Education</w:t>
            </w:r>
          </w:p>
        </w:tc>
      </w:tr>
      <w:tr w:rsidR="00D1300B" w:rsidTr="00021138">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4E04BB" w:rsidRDefault="004E04BB">
            <w:pPr>
              <w:tabs>
                <w:tab w:val="center" w:pos="4560"/>
              </w:tabs>
              <w:jc w:val="center"/>
              <w:rPr>
                <w:rFonts w:ascii="Arial" w:hAnsi="Arial"/>
              </w:rPr>
            </w:pPr>
          </w:p>
        </w:tc>
      </w:tr>
    </w:tbl>
    <w:p w:rsidR="008F5C58" w:rsidRDefault="008F5C58">
      <w:r>
        <w:lastRenderedPageBreak/>
        <w:br w:type="page"/>
      </w:r>
    </w:p>
    <w:tbl>
      <w:tblPr>
        <w:tblpPr w:leftFromText="180" w:rightFromText="180" w:vertAnchor="text" w:horzAnchor="margin" w:tblpY="82"/>
        <w:tblW w:w="8856" w:type="dxa"/>
        <w:tblLayout w:type="fixed"/>
        <w:tblLook w:val="0000" w:firstRow="0" w:lastRow="0" w:firstColumn="0" w:lastColumn="0" w:noHBand="0" w:noVBand="0"/>
      </w:tblPr>
      <w:tblGrid>
        <w:gridCol w:w="675"/>
        <w:gridCol w:w="8181"/>
      </w:tblGrid>
      <w:tr w:rsidR="00021138" w:rsidRPr="00021138" w:rsidTr="00021138">
        <w:tc>
          <w:tcPr>
            <w:tcW w:w="675" w:type="dxa"/>
          </w:tcPr>
          <w:p w:rsidR="00021138" w:rsidRPr="00021138" w:rsidRDefault="00021138" w:rsidP="00021138">
            <w:pPr>
              <w:rPr>
                <w:rFonts w:ascii="Arial" w:hAnsi="Arial"/>
                <w:b/>
                <w:szCs w:val="24"/>
              </w:rPr>
            </w:pPr>
            <w:r w:rsidRPr="00021138">
              <w:rPr>
                <w:rFonts w:ascii="Arial" w:hAnsi="Arial"/>
                <w:b/>
                <w:szCs w:val="24"/>
              </w:rPr>
              <w:t>I.</w:t>
            </w:r>
          </w:p>
        </w:tc>
        <w:tc>
          <w:tcPr>
            <w:tcW w:w="8181" w:type="dxa"/>
          </w:tcPr>
          <w:p w:rsidR="00021138" w:rsidRPr="00021138" w:rsidRDefault="00021138" w:rsidP="00021138">
            <w:pPr>
              <w:rPr>
                <w:rFonts w:ascii="Arial" w:hAnsi="Arial"/>
                <w:b/>
                <w:szCs w:val="24"/>
              </w:rPr>
            </w:pPr>
            <w:r w:rsidRPr="00021138">
              <w:rPr>
                <w:rFonts w:ascii="Arial" w:hAnsi="Arial"/>
                <w:b/>
                <w:szCs w:val="24"/>
              </w:rPr>
              <w:t>COURSE DESCRIPTION:</w:t>
            </w:r>
          </w:p>
          <w:p w:rsidR="00021138" w:rsidRPr="00021138" w:rsidRDefault="00021138" w:rsidP="00021138">
            <w:pPr>
              <w:rPr>
                <w:rFonts w:ascii="Arial" w:hAnsi="Arial"/>
                <w:szCs w:val="24"/>
              </w:rPr>
            </w:pPr>
          </w:p>
          <w:p w:rsidR="00021138" w:rsidRPr="00C64591" w:rsidRDefault="00C64591" w:rsidP="00021138">
            <w:pPr>
              <w:rPr>
                <w:rFonts w:ascii="Arial" w:hAnsi="Arial" w:cs="Arial"/>
                <w:szCs w:val="24"/>
              </w:rPr>
            </w:pPr>
            <w:r w:rsidRPr="00C64591">
              <w:rPr>
                <w:rFonts w:ascii="Arial" w:hAnsi="Arial" w:cs="Arial"/>
                <w:szCs w:val="24"/>
              </w:rPr>
              <w:t xml:space="preserve">Building on skills acquired in </w:t>
            </w:r>
            <w:proofErr w:type="spellStart"/>
            <w:r w:rsidRPr="00C64591">
              <w:rPr>
                <w:rFonts w:ascii="Arial" w:hAnsi="Arial" w:cs="Arial"/>
                <w:szCs w:val="24"/>
              </w:rPr>
              <w:t>NURS</w:t>
            </w:r>
            <w:proofErr w:type="spellEnd"/>
            <w:r w:rsidRPr="00C64591">
              <w:rPr>
                <w:rFonts w:ascii="Arial" w:hAnsi="Arial" w:cs="Arial"/>
                <w:szCs w:val="24"/>
              </w:rPr>
              <w:t xml:space="preserve"> 3406, 3416 and 4057, this course strives to enhance learners’ ability to work as scholars. Through praxis, learners experience ways to critically examine relevant nursing knowledge and explore ways to generate new nursing knowledge. </w:t>
            </w:r>
          </w:p>
        </w:tc>
      </w:tr>
    </w:tbl>
    <w:p w:rsidR="00D1300B" w:rsidRDefault="00D1300B">
      <w:pPr>
        <w:tabs>
          <w:tab w:val="center" w:pos="4560"/>
        </w:tabs>
        <w:rPr>
          <w:rFonts w:ascii="Arial" w:hAnsi="Arial"/>
          <w:i/>
          <w:lang w:val="en-GB"/>
        </w:rPr>
      </w:pPr>
    </w:p>
    <w:tbl>
      <w:tblPr>
        <w:tblpPr w:leftFromText="180" w:rightFromText="180" w:vertAnchor="text" w:horzAnchor="margin" w:tblpY="108"/>
        <w:tblW w:w="0" w:type="auto"/>
        <w:tblLayout w:type="fixed"/>
        <w:tblLook w:val="0000" w:firstRow="0" w:lastRow="0" w:firstColumn="0" w:lastColumn="0" w:noHBand="0" w:noVBand="0"/>
      </w:tblPr>
      <w:tblGrid>
        <w:gridCol w:w="675"/>
        <w:gridCol w:w="8181"/>
      </w:tblGrid>
      <w:tr w:rsidR="00021138" w:rsidRPr="00021138" w:rsidTr="00021138">
        <w:trPr>
          <w:cantSplit/>
        </w:trPr>
        <w:tc>
          <w:tcPr>
            <w:tcW w:w="675" w:type="dxa"/>
          </w:tcPr>
          <w:p w:rsidR="00021138" w:rsidRPr="00021138" w:rsidRDefault="00021138" w:rsidP="00021138">
            <w:pPr>
              <w:rPr>
                <w:rFonts w:ascii="Arial" w:hAnsi="Arial"/>
                <w:b/>
                <w:szCs w:val="24"/>
              </w:rPr>
            </w:pPr>
            <w:r w:rsidRPr="00021138">
              <w:rPr>
                <w:rFonts w:ascii="Arial" w:hAnsi="Arial"/>
                <w:b/>
                <w:szCs w:val="24"/>
              </w:rPr>
              <w:t>II.</w:t>
            </w:r>
          </w:p>
        </w:tc>
        <w:tc>
          <w:tcPr>
            <w:tcW w:w="8181" w:type="dxa"/>
          </w:tcPr>
          <w:p w:rsidR="00021138" w:rsidRPr="00021138" w:rsidRDefault="00021138" w:rsidP="00021138">
            <w:pPr>
              <w:rPr>
                <w:rFonts w:ascii="Arial" w:hAnsi="Arial"/>
                <w:b/>
                <w:szCs w:val="24"/>
              </w:rPr>
            </w:pPr>
            <w:r w:rsidRPr="00021138">
              <w:rPr>
                <w:rFonts w:ascii="Arial" w:hAnsi="Arial"/>
                <w:b/>
                <w:szCs w:val="24"/>
              </w:rPr>
              <w:t>LEARNING OUTCOMES AND ELEMENTS OF THE PERFORMANCE:</w:t>
            </w:r>
          </w:p>
        </w:tc>
      </w:tr>
      <w:tr w:rsidR="00021138" w:rsidRPr="00021138" w:rsidTr="00C64591">
        <w:trPr>
          <w:cantSplit/>
          <w:trHeight w:val="5475"/>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rPr>
                <w:rFonts w:ascii="Arial" w:hAnsi="Arial"/>
                <w:szCs w:val="24"/>
              </w:rPr>
            </w:pPr>
            <w:r w:rsidRPr="00021138">
              <w:rPr>
                <w:rFonts w:ascii="Arial" w:hAnsi="Arial"/>
                <w:b/>
                <w:szCs w:val="24"/>
                <w:u w:val="single"/>
              </w:rPr>
              <w:t>Ends-in-View</w:t>
            </w:r>
          </w:p>
          <w:p w:rsidR="00544684" w:rsidRDefault="00544684" w:rsidP="00021138">
            <w:pPr>
              <w:rPr>
                <w:rFonts w:ascii="Arial" w:hAnsi="Arial"/>
                <w:szCs w:val="24"/>
              </w:rPr>
            </w:pPr>
          </w:p>
          <w:p w:rsidR="00021138" w:rsidRPr="00021138" w:rsidRDefault="004213A8" w:rsidP="00021138">
            <w:pPr>
              <w:rPr>
                <w:rFonts w:ascii="Arial" w:hAnsi="Arial"/>
                <w:szCs w:val="24"/>
              </w:rPr>
            </w:pPr>
            <w:r>
              <w:rPr>
                <w:rFonts w:ascii="Arial" w:hAnsi="Arial"/>
                <w:szCs w:val="24"/>
              </w:rPr>
              <w:t>At the end of the semester the student will be able to:</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 xml:space="preserve">Critically read research reports. </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 xml:space="preserve">Update and refine original evidence review. </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Critique the merit of research purposes and conceptual frameworks in published reports.</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Identify a timely and specific patient-focused topic, problem and purpose for nursing proposal.</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Compare and contrast the various research methods in relation to identified study purpose.</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Identify and integrate current and quality literature to support rationale for each stage of the nursing proposal.</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Examine research ethics and specific description of the ethical implications of proposed research.</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Prepare for submission a sound, comprehensive nursing proposal.</w:t>
            </w:r>
          </w:p>
          <w:p w:rsidR="00021138" w:rsidRPr="00C64591" w:rsidRDefault="00C64591" w:rsidP="00021138">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Recognize research utilization strategies as newly registered nurses.</w:t>
            </w:r>
          </w:p>
        </w:tc>
      </w:tr>
      <w:tr w:rsidR="00021138" w:rsidRPr="00021138" w:rsidTr="00C64591">
        <w:trPr>
          <w:cantSplit/>
          <w:trHeight w:val="2262"/>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autoSpaceDE w:val="0"/>
              <w:autoSpaceDN w:val="0"/>
              <w:adjustRightInd w:val="0"/>
              <w:rPr>
                <w:rFonts w:ascii="Arial" w:hAnsi="Arial"/>
                <w:b/>
                <w:szCs w:val="24"/>
                <w:u w:val="single"/>
              </w:rPr>
            </w:pPr>
            <w:r w:rsidRPr="00021138">
              <w:rPr>
                <w:rFonts w:ascii="Arial" w:hAnsi="Arial"/>
                <w:b/>
                <w:szCs w:val="24"/>
                <w:u w:val="single"/>
              </w:rPr>
              <w:t>Process</w:t>
            </w:r>
          </w:p>
          <w:p w:rsidR="00021138" w:rsidRPr="00021138" w:rsidRDefault="00021138" w:rsidP="00021138">
            <w:pPr>
              <w:autoSpaceDE w:val="0"/>
              <w:autoSpaceDN w:val="0"/>
              <w:adjustRightInd w:val="0"/>
              <w:rPr>
                <w:rFonts w:ascii="Arial" w:hAnsi="Arial"/>
                <w:b/>
                <w:szCs w:val="24"/>
                <w:u w:val="single"/>
              </w:rPr>
            </w:pPr>
          </w:p>
          <w:p w:rsidR="00021138" w:rsidRPr="00C64591" w:rsidRDefault="00C64591" w:rsidP="00C64591">
            <w:pPr>
              <w:autoSpaceDE w:val="0"/>
              <w:autoSpaceDN w:val="0"/>
              <w:adjustRightInd w:val="0"/>
              <w:rPr>
                <w:rFonts w:ascii="Arial" w:hAnsi="Arial"/>
                <w:szCs w:val="24"/>
              </w:rPr>
            </w:pPr>
            <w:r w:rsidRPr="00C64591">
              <w:rPr>
                <w:rFonts w:ascii="Arial" w:hAnsi="Arial"/>
                <w:szCs w:val="24"/>
              </w:rPr>
              <w:t xml:space="preserve">This course upholds the nursing research praxis model of delivery introduced in the Year III research courses. Through active engagement in systematic and critical inquiry, learners propose a plan of study specific to a current and significant patient-focused topic or issue. Research praxis culminates in a nursing research proposal. </w:t>
            </w:r>
          </w:p>
        </w:tc>
      </w:tr>
      <w:tr w:rsidR="00021138" w:rsidRPr="00021138" w:rsidTr="00021138">
        <w:trPr>
          <w:cantSplit/>
          <w:trHeight w:val="1532"/>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autoSpaceDE w:val="0"/>
              <w:autoSpaceDN w:val="0"/>
              <w:adjustRightInd w:val="0"/>
              <w:rPr>
                <w:rFonts w:ascii="Arial" w:hAnsi="Arial"/>
                <w:b/>
                <w:szCs w:val="24"/>
                <w:u w:val="single"/>
              </w:rPr>
            </w:pPr>
            <w:r w:rsidRPr="00021138">
              <w:rPr>
                <w:rFonts w:ascii="Arial" w:hAnsi="Arial"/>
                <w:b/>
                <w:szCs w:val="24"/>
                <w:u w:val="single"/>
              </w:rPr>
              <w:t>Course Co-requisites</w:t>
            </w:r>
          </w:p>
          <w:p w:rsidR="00021138" w:rsidRPr="00021138" w:rsidRDefault="00021138" w:rsidP="00021138">
            <w:pPr>
              <w:autoSpaceDE w:val="0"/>
              <w:autoSpaceDN w:val="0"/>
              <w:adjustRightInd w:val="0"/>
              <w:rPr>
                <w:rFonts w:ascii="Arial" w:hAnsi="Arial"/>
                <w:b/>
                <w:szCs w:val="24"/>
                <w:u w:val="single"/>
              </w:rPr>
            </w:pPr>
          </w:p>
          <w:p w:rsidR="00021138" w:rsidRDefault="00021138" w:rsidP="00C64591">
            <w:pPr>
              <w:autoSpaceDE w:val="0"/>
              <w:autoSpaceDN w:val="0"/>
              <w:adjustRightInd w:val="0"/>
              <w:rPr>
                <w:rFonts w:ascii="Arial" w:hAnsi="Arial"/>
                <w:szCs w:val="24"/>
              </w:rPr>
            </w:pPr>
            <w:r w:rsidRPr="00021138">
              <w:rPr>
                <w:rFonts w:ascii="Arial" w:hAnsi="Arial"/>
                <w:szCs w:val="24"/>
              </w:rPr>
              <w:t xml:space="preserve">Only students enrolled in or who have successfully completed the Senate approved requirements are eligible to register in </w:t>
            </w:r>
            <w:proofErr w:type="spellStart"/>
            <w:r w:rsidRPr="00021138">
              <w:rPr>
                <w:rFonts w:ascii="Arial" w:hAnsi="Arial"/>
                <w:szCs w:val="24"/>
              </w:rPr>
              <w:t>NURS</w:t>
            </w:r>
            <w:proofErr w:type="spellEnd"/>
            <w:r w:rsidRPr="00021138">
              <w:rPr>
                <w:rFonts w:ascii="Arial" w:hAnsi="Arial"/>
                <w:szCs w:val="24"/>
              </w:rPr>
              <w:t xml:space="preserve"> 4416.</w:t>
            </w:r>
          </w:p>
          <w:p w:rsidR="00544684" w:rsidRDefault="00544684" w:rsidP="00C64591">
            <w:pPr>
              <w:autoSpaceDE w:val="0"/>
              <w:autoSpaceDN w:val="0"/>
              <w:adjustRightInd w:val="0"/>
              <w:rPr>
                <w:rFonts w:ascii="Arial" w:hAnsi="Arial"/>
                <w:szCs w:val="24"/>
              </w:rPr>
            </w:pPr>
          </w:p>
          <w:p w:rsidR="00544684" w:rsidRDefault="00544684" w:rsidP="00C64591">
            <w:pPr>
              <w:autoSpaceDE w:val="0"/>
              <w:autoSpaceDN w:val="0"/>
              <w:adjustRightInd w:val="0"/>
              <w:rPr>
                <w:rFonts w:ascii="Arial" w:hAnsi="Arial"/>
                <w:szCs w:val="24"/>
              </w:rPr>
            </w:pPr>
          </w:p>
          <w:p w:rsidR="00544684" w:rsidRDefault="00544684" w:rsidP="00C64591">
            <w:pPr>
              <w:autoSpaceDE w:val="0"/>
              <w:autoSpaceDN w:val="0"/>
              <w:adjustRightInd w:val="0"/>
              <w:rPr>
                <w:rFonts w:ascii="Arial" w:hAnsi="Arial"/>
                <w:szCs w:val="24"/>
              </w:rPr>
            </w:pPr>
          </w:p>
          <w:p w:rsidR="00544684" w:rsidRDefault="00544684" w:rsidP="00C64591">
            <w:pPr>
              <w:autoSpaceDE w:val="0"/>
              <w:autoSpaceDN w:val="0"/>
              <w:adjustRightInd w:val="0"/>
              <w:rPr>
                <w:rFonts w:ascii="Arial" w:hAnsi="Arial"/>
                <w:szCs w:val="24"/>
              </w:rPr>
            </w:pPr>
          </w:p>
          <w:p w:rsidR="00544684" w:rsidRDefault="00544684" w:rsidP="00C64591">
            <w:pPr>
              <w:autoSpaceDE w:val="0"/>
              <w:autoSpaceDN w:val="0"/>
              <w:adjustRightInd w:val="0"/>
              <w:rPr>
                <w:rFonts w:ascii="Arial" w:hAnsi="Arial"/>
                <w:szCs w:val="24"/>
              </w:rPr>
            </w:pPr>
          </w:p>
          <w:p w:rsidR="00544684" w:rsidRPr="00C64591" w:rsidRDefault="00544684" w:rsidP="00C64591">
            <w:pPr>
              <w:autoSpaceDE w:val="0"/>
              <w:autoSpaceDN w:val="0"/>
              <w:adjustRightInd w:val="0"/>
              <w:rPr>
                <w:rFonts w:ascii="Arial" w:hAnsi="Arial"/>
                <w:szCs w:val="24"/>
              </w:rPr>
            </w:pPr>
          </w:p>
        </w:tc>
      </w:tr>
    </w:tbl>
    <w:tbl>
      <w:tblPr>
        <w:tblW w:w="0" w:type="auto"/>
        <w:tblLayout w:type="fixed"/>
        <w:tblLook w:val="0000" w:firstRow="0" w:lastRow="0" w:firstColumn="0" w:lastColumn="0" w:noHBand="0" w:noVBand="0"/>
      </w:tblPr>
      <w:tblGrid>
        <w:gridCol w:w="675"/>
        <w:gridCol w:w="567"/>
        <w:gridCol w:w="7614"/>
      </w:tblGrid>
      <w:tr w:rsidR="00D1300B" w:rsidRPr="00021138">
        <w:trPr>
          <w:cantSplit/>
        </w:trPr>
        <w:tc>
          <w:tcPr>
            <w:tcW w:w="675" w:type="dxa"/>
          </w:tcPr>
          <w:p w:rsidR="00D1300B" w:rsidRPr="00021138" w:rsidRDefault="00D1300B">
            <w:pPr>
              <w:rPr>
                <w:rFonts w:ascii="Arial" w:hAnsi="Arial"/>
                <w:b/>
                <w:szCs w:val="24"/>
              </w:rPr>
            </w:pPr>
            <w:r w:rsidRPr="00021138">
              <w:rPr>
                <w:rFonts w:ascii="Arial" w:hAnsi="Arial"/>
                <w:b/>
                <w:szCs w:val="24"/>
              </w:rPr>
              <w:lastRenderedPageBreak/>
              <w:t>III.</w:t>
            </w:r>
          </w:p>
        </w:tc>
        <w:tc>
          <w:tcPr>
            <w:tcW w:w="8181" w:type="dxa"/>
            <w:gridSpan w:val="2"/>
          </w:tcPr>
          <w:p w:rsidR="00D1300B" w:rsidRPr="00021138" w:rsidRDefault="00D1300B">
            <w:pPr>
              <w:rPr>
                <w:rFonts w:ascii="Arial" w:hAnsi="Arial"/>
                <w:b/>
                <w:szCs w:val="24"/>
              </w:rPr>
            </w:pPr>
            <w:r w:rsidRPr="00021138">
              <w:rPr>
                <w:rFonts w:ascii="Arial" w:hAnsi="Arial"/>
                <w:b/>
                <w:szCs w:val="24"/>
              </w:rPr>
              <w:t>TOPICS:</w:t>
            </w:r>
          </w:p>
          <w:p w:rsidR="00D1300B" w:rsidRPr="00021138" w:rsidRDefault="00D1300B">
            <w:pPr>
              <w:rPr>
                <w:rFonts w:ascii="Arial" w:hAnsi="Arial"/>
                <w:szCs w:val="24"/>
              </w:rPr>
            </w:pP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1.</w:t>
            </w:r>
          </w:p>
        </w:tc>
        <w:tc>
          <w:tcPr>
            <w:tcW w:w="7614" w:type="dxa"/>
          </w:tcPr>
          <w:p w:rsidR="00165BA6" w:rsidRPr="00021138" w:rsidRDefault="00030A8F" w:rsidP="00EA66A7">
            <w:pPr>
              <w:rPr>
                <w:rFonts w:ascii="Arial" w:hAnsi="Arial"/>
                <w:szCs w:val="24"/>
              </w:rPr>
            </w:pPr>
            <w:r w:rsidRPr="00021138">
              <w:rPr>
                <w:rFonts w:ascii="Arial" w:hAnsi="Arial"/>
                <w:szCs w:val="24"/>
              </w:rPr>
              <w:t>Nurses’ work and research</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2.</w:t>
            </w:r>
          </w:p>
        </w:tc>
        <w:tc>
          <w:tcPr>
            <w:tcW w:w="7614" w:type="dxa"/>
          </w:tcPr>
          <w:p w:rsidR="00165BA6" w:rsidRPr="00021138" w:rsidRDefault="00030A8F" w:rsidP="00EA66A7">
            <w:pPr>
              <w:rPr>
                <w:rFonts w:ascii="Arial" w:hAnsi="Arial"/>
                <w:szCs w:val="24"/>
              </w:rPr>
            </w:pPr>
            <w:r w:rsidRPr="00021138">
              <w:rPr>
                <w:rFonts w:ascii="Arial" w:hAnsi="Arial"/>
                <w:szCs w:val="24"/>
              </w:rPr>
              <w:t>Epistemology/ontology</w:t>
            </w:r>
            <w:r w:rsidR="00EA66A7">
              <w:rPr>
                <w:rFonts w:ascii="Arial" w:hAnsi="Arial"/>
                <w:szCs w:val="24"/>
              </w:rPr>
              <w:t xml:space="preserve"> review</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3.</w:t>
            </w:r>
          </w:p>
        </w:tc>
        <w:tc>
          <w:tcPr>
            <w:tcW w:w="7614" w:type="dxa"/>
          </w:tcPr>
          <w:p w:rsidR="00165BA6" w:rsidRPr="00021138" w:rsidRDefault="00030A8F" w:rsidP="00EA66A7">
            <w:pPr>
              <w:rPr>
                <w:rFonts w:ascii="Arial" w:hAnsi="Arial"/>
                <w:szCs w:val="24"/>
              </w:rPr>
            </w:pPr>
            <w:r w:rsidRPr="00021138">
              <w:rPr>
                <w:rFonts w:ascii="Arial" w:hAnsi="Arial"/>
                <w:szCs w:val="24"/>
              </w:rPr>
              <w:t>Knowledge generation</w:t>
            </w:r>
            <w:r w:rsidR="00EA66A7">
              <w:rPr>
                <w:rFonts w:ascii="Arial" w:hAnsi="Arial"/>
                <w:szCs w:val="24"/>
              </w:rPr>
              <w:t xml:space="preserve"> review</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4.</w:t>
            </w:r>
          </w:p>
        </w:tc>
        <w:tc>
          <w:tcPr>
            <w:tcW w:w="7614" w:type="dxa"/>
          </w:tcPr>
          <w:p w:rsidR="00165BA6" w:rsidRPr="00021138" w:rsidRDefault="00030A8F" w:rsidP="00EA66A7">
            <w:pPr>
              <w:rPr>
                <w:rFonts w:ascii="Arial" w:hAnsi="Arial"/>
                <w:szCs w:val="24"/>
              </w:rPr>
            </w:pPr>
            <w:r w:rsidRPr="00021138">
              <w:rPr>
                <w:rFonts w:ascii="Arial" w:hAnsi="Arial"/>
                <w:szCs w:val="24"/>
              </w:rPr>
              <w:t>Ethics</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5.</w:t>
            </w:r>
          </w:p>
        </w:tc>
        <w:tc>
          <w:tcPr>
            <w:tcW w:w="7614" w:type="dxa"/>
          </w:tcPr>
          <w:p w:rsidR="00165BA6" w:rsidRPr="00021138" w:rsidRDefault="00030A8F" w:rsidP="00EA66A7">
            <w:pPr>
              <w:rPr>
                <w:rFonts w:ascii="Arial" w:hAnsi="Arial"/>
                <w:szCs w:val="24"/>
              </w:rPr>
            </w:pPr>
            <w:r w:rsidRPr="00021138">
              <w:rPr>
                <w:rFonts w:ascii="Arial" w:hAnsi="Arial"/>
                <w:szCs w:val="24"/>
              </w:rPr>
              <w:t>Rigor</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6.</w:t>
            </w:r>
          </w:p>
        </w:tc>
        <w:tc>
          <w:tcPr>
            <w:tcW w:w="7614" w:type="dxa"/>
          </w:tcPr>
          <w:p w:rsidR="00165BA6" w:rsidRPr="00021138" w:rsidRDefault="00030A8F" w:rsidP="00EA66A7">
            <w:pPr>
              <w:rPr>
                <w:rFonts w:ascii="Arial" w:hAnsi="Arial"/>
                <w:szCs w:val="24"/>
              </w:rPr>
            </w:pPr>
            <w:r w:rsidRPr="00021138">
              <w:rPr>
                <w:rFonts w:ascii="Arial" w:hAnsi="Arial"/>
                <w:szCs w:val="24"/>
              </w:rPr>
              <w:t>Research dissemination</w:t>
            </w:r>
          </w:p>
        </w:tc>
      </w:tr>
      <w:tr w:rsidR="00030A8F" w:rsidRPr="00021138">
        <w:tc>
          <w:tcPr>
            <w:tcW w:w="675" w:type="dxa"/>
          </w:tcPr>
          <w:p w:rsidR="00030A8F" w:rsidRPr="00021138" w:rsidRDefault="00030A8F">
            <w:pPr>
              <w:rPr>
                <w:rFonts w:ascii="Arial" w:hAnsi="Arial"/>
                <w:szCs w:val="24"/>
              </w:rPr>
            </w:pPr>
          </w:p>
        </w:tc>
        <w:tc>
          <w:tcPr>
            <w:tcW w:w="567" w:type="dxa"/>
          </w:tcPr>
          <w:p w:rsidR="00030A8F" w:rsidRPr="00021138" w:rsidRDefault="00030A8F">
            <w:pPr>
              <w:rPr>
                <w:rFonts w:ascii="Arial" w:hAnsi="Arial"/>
                <w:szCs w:val="24"/>
              </w:rPr>
            </w:pPr>
            <w:r w:rsidRPr="00021138">
              <w:rPr>
                <w:rFonts w:ascii="Arial" w:hAnsi="Arial"/>
                <w:szCs w:val="24"/>
              </w:rPr>
              <w:t>7.</w:t>
            </w:r>
          </w:p>
        </w:tc>
        <w:tc>
          <w:tcPr>
            <w:tcW w:w="7614" w:type="dxa"/>
          </w:tcPr>
          <w:p w:rsidR="00544684" w:rsidRPr="00021138" w:rsidRDefault="00030A8F" w:rsidP="00544684">
            <w:pPr>
              <w:rPr>
                <w:rFonts w:ascii="Arial" w:hAnsi="Arial"/>
                <w:szCs w:val="24"/>
              </w:rPr>
            </w:pPr>
            <w:r w:rsidRPr="00021138">
              <w:rPr>
                <w:rFonts w:ascii="Arial" w:hAnsi="Arial"/>
                <w:szCs w:val="24"/>
              </w:rPr>
              <w:t>Research utilization</w:t>
            </w:r>
          </w:p>
        </w:tc>
      </w:tr>
      <w:tr w:rsidR="00544684" w:rsidRPr="00021138">
        <w:tc>
          <w:tcPr>
            <w:tcW w:w="675" w:type="dxa"/>
          </w:tcPr>
          <w:p w:rsidR="00544684" w:rsidRPr="00021138" w:rsidRDefault="00544684">
            <w:pPr>
              <w:rPr>
                <w:rFonts w:ascii="Arial" w:hAnsi="Arial"/>
                <w:szCs w:val="24"/>
              </w:rPr>
            </w:pPr>
          </w:p>
        </w:tc>
        <w:tc>
          <w:tcPr>
            <w:tcW w:w="567" w:type="dxa"/>
          </w:tcPr>
          <w:p w:rsidR="00544684" w:rsidRPr="00021138" w:rsidRDefault="00544684">
            <w:pPr>
              <w:rPr>
                <w:rFonts w:ascii="Arial" w:hAnsi="Arial"/>
                <w:szCs w:val="24"/>
              </w:rPr>
            </w:pPr>
          </w:p>
        </w:tc>
        <w:tc>
          <w:tcPr>
            <w:tcW w:w="7614" w:type="dxa"/>
          </w:tcPr>
          <w:p w:rsidR="00544684" w:rsidRPr="00021138" w:rsidRDefault="00544684" w:rsidP="00544684">
            <w:pPr>
              <w:rPr>
                <w:rFonts w:ascii="Arial" w:hAnsi="Arial"/>
                <w:szCs w:val="24"/>
              </w:rPr>
            </w:pPr>
          </w:p>
        </w:tc>
      </w:tr>
      <w:tr w:rsidR="00D1300B" w:rsidRPr="00021138" w:rsidTr="00544684">
        <w:trPr>
          <w:cantSplit/>
          <w:trHeight w:val="80"/>
        </w:trPr>
        <w:tc>
          <w:tcPr>
            <w:tcW w:w="675" w:type="dxa"/>
          </w:tcPr>
          <w:p w:rsidR="00D1300B" w:rsidRPr="00021138" w:rsidRDefault="00D1300B">
            <w:pPr>
              <w:rPr>
                <w:rFonts w:ascii="Arial" w:hAnsi="Arial"/>
                <w:b/>
                <w:szCs w:val="24"/>
              </w:rPr>
            </w:pPr>
          </w:p>
        </w:tc>
        <w:tc>
          <w:tcPr>
            <w:tcW w:w="8181" w:type="dxa"/>
            <w:gridSpan w:val="2"/>
          </w:tcPr>
          <w:p w:rsidR="00D41E2E" w:rsidRPr="004A1FD2" w:rsidRDefault="00D41E2E" w:rsidP="004A1FD2">
            <w:pPr>
              <w:autoSpaceDE w:val="0"/>
              <w:autoSpaceDN w:val="0"/>
              <w:adjustRightInd w:val="0"/>
              <w:rPr>
                <w:rFonts w:ascii="Arial" w:hAnsi="Arial" w:cs="Arial"/>
                <w:szCs w:val="24"/>
              </w:rPr>
            </w:pPr>
          </w:p>
        </w:tc>
      </w:tr>
      <w:tr w:rsidR="00544684" w:rsidRPr="004A1FD2" w:rsidTr="00544684">
        <w:trPr>
          <w:cantSplit/>
          <w:trHeight w:val="80"/>
        </w:trPr>
        <w:tc>
          <w:tcPr>
            <w:tcW w:w="675" w:type="dxa"/>
          </w:tcPr>
          <w:p w:rsidR="00544684" w:rsidRPr="00021138" w:rsidRDefault="00544684" w:rsidP="00425D53">
            <w:pPr>
              <w:rPr>
                <w:rFonts w:ascii="Arial" w:hAnsi="Arial"/>
                <w:b/>
                <w:szCs w:val="24"/>
              </w:rPr>
            </w:pPr>
            <w:r w:rsidRPr="00544684">
              <w:rPr>
                <w:rFonts w:ascii="Arial" w:hAnsi="Arial"/>
                <w:b/>
                <w:szCs w:val="24"/>
              </w:rPr>
              <w:t>IV.</w:t>
            </w:r>
          </w:p>
        </w:tc>
        <w:tc>
          <w:tcPr>
            <w:tcW w:w="8181" w:type="dxa"/>
            <w:gridSpan w:val="2"/>
          </w:tcPr>
          <w:p w:rsidR="00544684" w:rsidRPr="00366709" w:rsidRDefault="00544684" w:rsidP="00544684">
            <w:pPr>
              <w:autoSpaceDE w:val="0"/>
              <w:autoSpaceDN w:val="0"/>
              <w:adjustRightInd w:val="0"/>
              <w:rPr>
                <w:rFonts w:ascii="Arial" w:hAnsi="Arial" w:cs="Arial"/>
                <w:b/>
                <w:szCs w:val="24"/>
              </w:rPr>
            </w:pPr>
            <w:r w:rsidRPr="00366709">
              <w:rPr>
                <w:rFonts w:ascii="Arial" w:hAnsi="Arial" w:cs="Arial"/>
                <w:b/>
                <w:szCs w:val="24"/>
              </w:rPr>
              <w:t>REQUIRED RESOURCES/TEXTS/MATERIALS:</w:t>
            </w:r>
          </w:p>
          <w:p w:rsidR="00544684" w:rsidRPr="00544684" w:rsidRDefault="00544684" w:rsidP="00544684">
            <w:pPr>
              <w:autoSpaceDE w:val="0"/>
              <w:autoSpaceDN w:val="0"/>
              <w:adjustRightInd w:val="0"/>
              <w:rPr>
                <w:rFonts w:ascii="Arial" w:hAnsi="Arial" w:cs="Arial"/>
                <w:szCs w:val="24"/>
              </w:rPr>
            </w:pPr>
          </w:p>
          <w:p w:rsidR="00544684" w:rsidRPr="00366709" w:rsidRDefault="00544684" w:rsidP="00544684">
            <w:pPr>
              <w:autoSpaceDE w:val="0"/>
              <w:autoSpaceDN w:val="0"/>
              <w:adjustRightInd w:val="0"/>
              <w:rPr>
                <w:rFonts w:ascii="Arial" w:hAnsi="Arial" w:cs="Arial"/>
                <w:b/>
                <w:szCs w:val="24"/>
                <w:u w:val="single"/>
              </w:rPr>
            </w:pPr>
            <w:r w:rsidRPr="00366709">
              <w:rPr>
                <w:rFonts w:ascii="Arial" w:hAnsi="Arial" w:cs="Arial"/>
                <w:b/>
                <w:szCs w:val="24"/>
                <w:u w:val="single"/>
              </w:rPr>
              <w:t>Required Texts</w:t>
            </w:r>
          </w:p>
          <w:p w:rsidR="00544684" w:rsidRPr="00544684" w:rsidRDefault="00544684" w:rsidP="00544684">
            <w:pPr>
              <w:autoSpaceDE w:val="0"/>
              <w:autoSpaceDN w:val="0"/>
              <w:adjustRightInd w:val="0"/>
              <w:rPr>
                <w:rFonts w:ascii="Arial" w:hAnsi="Arial" w:cs="Arial"/>
                <w:szCs w:val="24"/>
              </w:rPr>
            </w:pPr>
          </w:p>
          <w:p w:rsidR="00544684" w:rsidRPr="00544684" w:rsidRDefault="00544684" w:rsidP="00544684">
            <w:pPr>
              <w:autoSpaceDE w:val="0"/>
              <w:autoSpaceDN w:val="0"/>
              <w:adjustRightInd w:val="0"/>
              <w:rPr>
                <w:rFonts w:ascii="Arial" w:hAnsi="Arial" w:cs="Arial"/>
                <w:szCs w:val="24"/>
              </w:rPr>
            </w:pPr>
            <w:r w:rsidRPr="00544684">
              <w:rPr>
                <w:rFonts w:ascii="Arial" w:hAnsi="Arial" w:cs="Arial"/>
                <w:szCs w:val="24"/>
              </w:rPr>
              <w:t xml:space="preserve">American Psychological Association (2010). Publication Manual of the </w:t>
            </w:r>
            <w:proofErr w:type="spellStart"/>
            <w:r w:rsidRPr="00544684">
              <w:rPr>
                <w:rFonts w:ascii="Arial" w:hAnsi="Arial" w:cs="Arial"/>
                <w:szCs w:val="24"/>
              </w:rPr>
              <w:t>APA</w:t>
            </w:r>
            <w:proofErr w:type="spellEnd"/>
            <w:r w:rsidRPr="00544684">
              <w:rPr>
                <w:rFonts w:ascii="Arial" w:hAnsi="Arial" w:cs="Arial"/>
                <w:szCs w:val="24"/>
              </w:rPr>
              <w:t xml:space="preserve"> (6th edition). Washington, DC: </w:t>
            </w:r>
            <w:proofErr w:type="spellStart"/>
            <w:r w:rsidRPr="00544684">
              <w:rPr>
                <w:rFonts w:ascii="Arial" w:hAnsi="Arial" w:cs="Arial"/>
                <w:szCs w:val="24"/>
              </w:rPr>
              <w:t>APA</w:t>
            </w:r>
            <w:proofErr w:type="spellEnd"/>
            <w:r w:rsidRPr="00544684">
              <w:rPr>
                <w:rFonts w:ascii="Arial" w:hAnsi="Arial" w:cs="Arial"/>
                <w:szCs w:val="24"/>
              </w:rPr>
              <w:t>. OR online version at: http://apastyle.org/</w:t>
            </w:r>
          </w:p>
          <w:p w:rsidR="00544684" w:rsidRPr="00544684" w:rsidRDefault="00544684" w:rsidP="00544684">
            <w:pPr>
              <w:autoSpaceDE w:val="0"/>
              <w:autoSpaceDN w:val="0"/>
              <w:adjustRightInd w:val="0"/>
              <w:rPr>
                <w:rFonts w:ascii="Arial" w:hAnsi="Arial" w:cs="Arial"/>
                <w:szCs w:val="24"/>
              </w:rPr>
            </w:pPr>
          </w:p>
          <w:p w:rsidR="00544684" w:rsidRPr="00544684" w:rsidRDefault="00544684" w:rsidP="00544684">
            <w:pPr>
              <w:autoSpaceDE w:val="0"/>
              <w:autoSpaceDN w:val="0"/>
              <w:adjustRightInd w:val="0"/>
              <w:rPr>
                <w:rFonts w:ascii="Arial" w:hAnsi="Arial" w:cs="Arial"/>
                <w:szCs w:val="24"/>
              </w:rPr>
            </w:pPr>
            <w:proofErr w:type="spellStart"/>
            <w:r w:rsidRPr="00544684">
              <w:rPr>
                <w:rFonts w:ascii="Arial" w:hAnsi="Arial" w:cs="Arial"/>
                <w:szCs w:val="24"/>
              </w:rPr>
              <w:t>APA</w:t>
            </w:r>
            <w:proofErr w:type="spellEnd"/>
            <w:r w:rsidRPr="00544684">
              <w:rPr>
                <w:rFonts w:ascii="Arial" w:hAnsi="Arial" w:cs="Arial"/>
                <w:szCs w:val="24"/>
              </w:rPr>
              <w:t xml:space="preserve"> Guide at the Online Writing Lab at Purdue University which is available at: http://owl.english.purdue.edu/owl/section/2/10/</w:t>
            </w:r>
          </w:p>
          <w:p w:rsidR="00544684" w:rsidRPr="00544684" w:rsidRDefault="00544684" w:rsidP="00544684">
            <w:pPr>
              <w:autoSpaceDE w:val="0"/>
              <w:autoSpaceDN w:val="0"/>
              <w:adjustRightInd w:val="0"/>
              <w:rPr>
                <w:rFonts w:ascii="Arial" w:hAnsi="Arial" w:cs="Arial"/>
                <w:szCs w:val="24"/>
              </w:rPr>
            </w:pPr>
          </w:p>
          <w:p w:rsidR="00544684" w:rsidRPr="00544684" w:rsidRDefault="00544684" w:rsidP="00544684">
            <w:pPr>
              <w:autoSpaceDE w:val="0"/>
              <w:autoSpaceDN w:val="0"/>
              <w:adjustRightInd w:val="0"/>
              <w:rPr>
                <w:rFonts w:ascii="Arial" w:hAnsi="Arial" w:cs="Arial"/>
                <w:szCs w:val="24"/>
              </w:rPr>
            </w:pPr>
            <w:r w:rsidRPr="00544684">
              <w:rPr>
                <w:rFonts w:ascii="Arial" w:hAnsi="Arial" w:cs="Arial"/>
                <w:szCs w:val="24"/>
              </w:rPr>
              <w:t>Davis, B., &amp; Logan, J. (2012). Reading research: A user friendly guide for health professionals (5th ed.). Toronto, ON: Elsevier Mosby.</w:t>
            </w:r>
          </w:p>
          <w:p w:rsidR="00544684" w:rsidRPr="00544684" w:rsidRDefault="00544684" w:rsidP="00544684">
            <w:pPr>
              <w:autoSpaceDE w:val="0"/>
              <w:autoSpaceDN w:val="0"/>
              <w:adjustRightInd w:val="0"/>
              <w:rPr>
                <w:rFonts w:ascii="Arial" w:hAnsi="Arial" w:cs="Arial"/>
                <w:szCs w:val="24"/>
              </w:rPr>
            </w:pPr>
          </w:p>
          <w:p w:rsidR="00544684" w:rsidRPr="00544684" w:rsidRDefault="00544684" w:rsidP="00544684">
            <w:pPr>
              <w:autoSpaceDE w:val="0"/>
              <w:autoSpaceDN w:val="0"/>
              <w:adjustRightInd w:val="0"/>
              <w:rPr>
                <w:rFonts w:ascii="Arial" w:hAnsi="Arial" w:cs="Arial"/>
                <w:szCs w:val="24"/>
              </w:rPr>
            </w:pPr>
            <w:r w:rsidRPr="00544684">
              <w:rPr>
                <w:rFonts w:ascii="Arial" w:hAnsi="Arial" w:cs="Arial"/>
                <w:szCs w:val="24"/>
              </w:rPr>
              <w:t>LoBiondo-Wood, G., &amp; Haber, J. (2013). Nursing research in Canada: Methods and critical appraisal for evidence-based practice (3rd</w:t>
            </w:r>
          </w:p>
          <w:p w:rsidR="00544684" w:rsidRPr="004A1FD2" w:rsidRDefault="00544684" w:rsidP="00544684">
            <w:pPr>
              <w:autoSpaceDE w:val="0"/>
              <w:autoSpaceDN w:val="0"/>
              <w:adjustRightInd w:val="0"/>
              <w:rPr>
                <w:rFonts w:ascii="Arial" w:hAnsi="Arial" w:cs="Arial"/>
                <w:szCs w:val="24"/>
              </w:rPr>
            </w:pPr>
            <w:r w:rsidRPr="00544684">
              <w:rPr>
                <w:rFonts w:ascii="Arial" w:hAnsi="Arial" w:cs="Arial"/>
                <w:szCs w:val="24"/>
              </w:rPr>
              <w:t xml:space="preserve">           Canadian ed.). Toronto, ON: Elsevier Mosby.</w:t>
            </w:r>
          </w:p>
        </w:tc>
      </w:tr>
      <w:tr w:rsidR="00544684" w:rsidRPr="004A1FD2" w:rsidTr="00544684">
        <w:trPr>
          <w:cantSplit/>
          <w:trHeight w:val="80"/>
        </w:trPr>
        <w:tc>
          <w:tcPr>
            <w:tcW w:w="675" w:type="dxa"/>
          </w:tcPr>
          <w:p w:rsidR="00544684" w:rsidRPr="00544684" w:rsidRDefault="00544684" w:rsidP="00425D53">
            <w:pPr>
              <w:rPr>
                <w:rFonts w:ascii="Arial" w:hAnsi="Arial"/>
                <w:b/>
                <w:szCs w:val="24"/>
              </w:rPr>
            </w:pPr>
          </w:p>
        </w:tc>
        <w:tc>
          <w:tcPr>
            <w:tcW w:w="8181" w:type="dxa"/>
            <w:gridSpan w:val="2"/>
          </w:tcPr>
          <w:p w:rsidR="00544684" w:rsidRDefault="00544684" w:rsidP="00544684">
            <w:pPr>
              <w:autoSpaceDE w:val="0"/>
              <w:autoSpaceDN w:val="0"/>
              <w:adjustRightInd w:val="0"/>
              <w:rPr>
                <w:rFonts w:ascii="Arial" w:hAnsi="Arial" w:cs="Arial"/>
                <w:szCs w:val="24"/>
              </w:rPr>
            </w:pPr>
          </w:p>
          <w:p w:rsidR="00544684" w:rsidRPr="00366709" w:rsidRDefault="00544684" w:rsidP="00544684">
            <w:pPr>
              <w:autoSpaceDE w:val="0"/>
              <w:autoSpaceDN w:val="0"/>
              <w:adjustRightInd w:val="0"/>
              <w:rPr>
                <w:rFonts w:ascii="Arial" w:hAnsi="Arial" w:cs="Arial"/>
                <w:b/>
                <w:szCs w:val="24"/>
                <w:u w:val="single"/>
              </w:rPr>
            </w:pPr>
            <w:r w:rsidRPr="00366709">
              <w:rPr>
                <w:rFonts w:ascii="Arial" w:hAnsi="Arial" w:cs="Arial"/>
                <w:b/>
                <w:szCs w:val="24"/>
                <w:u w:val="single"/>
              </w:rPr>
              <w:t>Resources for Learning</w:t>
            </w:r>
          </w:p>
          <w:p w:rsidR="00544684" w:rsidRPr="00544684" w:rsidRDefault="00544684" w:rsidP="00544684">
            <w:pPr>
              <w:autoSpaceDE w:val="0"/>
              <w:autoSpaceDN w:val="0"/>
              <w:adjustRightInd w:val="0"/>
              <w:rPr>
                <w:rFonts w:ascii="Arial" w:hAnsi="Arial" w:cs="Arial"/>
                <w:szCs w:val="24"/>
              </w:rPr>
            </w:pPr>
          </w:p>
          <w:p w:rsidR="00544684" w:rsidRPr="00544684" w:rsidRDefault="00544684" w:rsidP="00544684">
            <w:pPr>
              <w:autoSpaceDE w:val="0"/>
              <w:autoSpaceDN w:val="0"/>
              <w:adjustRightInd w:val="0"/>
              <w:rPr>
                <w:rFonts w:ascii="Arial" w:hAnsi="Arial" w:cs="Arial"/>
                <w:szCs w:val="24"/>
              </w:rPr>
            </w:pPr>
            <w:r w:rsidRPr="00544684">
              <w:rPr>
                <w:rFonts w:ascii="Arial" w:hAnsi="Arial" w:cs="Arial"/>
                <w:szCs w:val="24"/>
              </w:rPr>
              <w:t xml:space="preserve">To support learners’ conceptualization and development of their study proposal, the following combination of resources is available: </w:t>
            </w:r>
          </w:p>
          <w:p w:rsidR="00544684" w:rsidRPr="00544684" w:rsidRDefault="00544684" w:rsidP="00544684">
            <w:pPr>
              <w:autoSpaceDE w:val="0"/>
              <w:autoSpaceDN w:val="0"/>
              <w:adjustRightInd w:val="0"/>
              <w:rPr>
                <w:rFonts w:ascii="Arial" w:hAnsi="Arial" w:cs="Arial"/>
                <w:szCs w:val="24"/>
              </w:rPr>
            </w:pPr>
          </w:p>
          <w:p w:rsidR="00544684" w:rsidRPr="00544684" w:rsidRDefault="00544684" w:rsidP="00544684">
            <w:pPr>
              <w:autoSpaceDE w:val="0"/>
              <w:autoSpaceDN w:val="0"/>
              <w:adjustRightInd w:val="0"/>
              <w:rPr>
                <w:rFonts w:ascii="Arial" w:hAnsi="Arial" w:cs="Arial"/>
                <w:szCs w:val="24"/>
              </w:rPr>
            </w:pPr>
            <w:r w:rsidRPr="00544684">
              <w:rPr>
                <w:rFonts w:ascii="Arial" w:hAnsi="Arial" w:cs="Arial"/>
                <w:szCs w:val="24"/>
              </w:rPr>
              <w:t>1. A student-lead bulletin board is available for learners to exchange nursing knowledge throughout the delivery of the course. As learners formulate their projects, a knowledge posting will reflect their thinking in relation to the topic of inquiry. It is anticipated that postings will be quite varied as no two proposals are exactly alike. Even when learners share similar interests, each proposal’s theoretical orientation, research questions, participants, and methods will most likely differ. Please note that learners rather than the professor are responsible for facilitating professional discussions relevant to this course’s objectives.</w:t>
            </w:r>
          </w:p>
        </w:tc>
      </w:tr>
      <w:tr w:rsidR="00544684" w:rsidRPr="004A1FD2" w:rsidTr="00544684">
        <w:trPr>
          <w:cantSplit/>
          <w:trHeight w:val="80"/>
        </w:trPr>
        <w:tc>
          <w:tcPr>
            <w:tcW w:w="675" w:type="dxa"/>
          </w:tcPr>
          <w:p w:rsidR="00544684" w:rsidRPr="00021138" w:rsidRDefault="00544684" w:rsidP="00425D53">
            <w:pPr>
              <w:rPr>
                <w:rFonts w:ascii="Arial" w:hAnsi="Arial"/>
                <w:b/>
                <w:szCs w:val="24"/>
              </w:rPr>
            </w:pPr>
          </w:p>
        </w:tc>
        <w:tc>
          <w:tcPr>
            <w:tcW w:w="8181"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0"/>
            </w:tblGrid>
            <w:tr w:rsidR="00544684" w:rsidTr="00544684">
              <w:trPr>
                <w:trHeight w:val="4392"/>
              </w:trPr>
              <w:tc>
                <w:tcPr>
                  <w:tcW w:w="7950" w:type="dxa"/>
                </w:tcPr>
                <w:p w:rsidR="00544684" w:rsidRPr="00544684" w:rsidRDefault="00544684" w:rsidP="00544684">
                  <w:pPr>
                    <w:autoSpaceDE w:val="0"/>
                    <w:autoSpaceDN w:val="0"/>
                    <w:adjustRightInd w:val="0"/>
                    <w:ind w:left="-68"/>
                    <w:rPr>
                      <w:rFonts w:ascii="Arial" w:hAnsi="Arial" w:cs="Arial"/>
                      <w:szCs w:val="24"/>
                    </w:rPr>
                  </w:pPr>
                  <w:r w:rsidRPr="00544684">
                    <w:rPr>
                      <w:rFonts w:ascii="Arial" w:hAnsi="Arial" w:cs="Arial"/>
                      <w:szCs w:val="24"/>
                    </w:rPr>
                    <w:t>2. The research text(s) in the previous nursing research courses, nursing research texts on reserve, and weekly recommended readings.</w:t>
                  </w:r>
                </w:p>
                <w:p w:rsidR="00544684" w:rsidRPr="00544684" w:rsidRDefault="00544684" w:rsidP="00544684">
                  <w:pPr>
                    <w:autoSpaceDE w:val="0"/>
                    <w:autoSpaceDN w:val="0"/>
                    <w:adjustRightInd w:val="0"/>
                    <w:ind w:left="-68"/>
                    <w:rPr>
                      <w:rFonts w:ascii="Arial" w:hAnsi="Arial" w:cs="Arial"/>
                      <w:szCs w:val="24"/>
                    </w:rPr>
                  </w:pPr>
                </w:p>
                <w:p w:rsidR="00544684" w:rsidRPr="00544684" w:rsidRDefault="00544684" w:rsidP="00544684">
                  <w:pPr>
                    <w:autoSpaceDE w:val="0"/>
                    <w:autoSpaceDN w:val="0"/>
                    <w:adjustRightInd w:val="0"/>
                    <w:ind w:left="-68"/>
                    <w:rPr>
                      <w:rFonts w:ascii="Arial" w:hAnsi="Arial" w:cs="Arial"/>
                      <w:szCs w:val="24"/>
                    </w:rPr>
                  </w:pPr>
                  <w:r w:rsidRPr="00544684">
                    <w:rPr>
                      <w:rFonts w:ascii="Arial" w:hAnsi="Arial" w:cs="Arial"/>
                      <w:szCs w:val="24"/>
                    </w:rPr>
                    <w:t xml:space="preserve">3. The quality of any research project is influenced by the identification and purposeful integration of current evidence to address the student identified patient-focused problem. Academic librarians play a critical role as information experts. To refine learners’ initial evidence collection of reports, librarian guided  search strategies, increased awareness of resources, and information management are invaluable resources. Learners are invited to a session about systematic searching and retrieving research reports at the beginning of the course. Further, the librarian will review </w:t>
                  </w:r>
                  <w:proofErr w:type="spellStart"/>
                  <w:r w:rsidRPr="00544684">
                    <w:rPr>
                      <w:rFonts w:ascii="Arial" w:hAnsi="Arial" w:cs="Arial"/>
                      <w:szCs w:val="24"/>
                    </w:rPr>
                    <w:t>Refworks</w:t>
                  </w:r>
                  <w:proofErr w:type="spellEnd"/>
                  <w:r w:rsidRPr="00544684">
                    <w:rPr>
                      <w:rFonts w:ascii="Arial" w:hAnsi="Arial" w:cs="Arial"/>
                      <w:szCs w:val="24"/>
                    </w:rPr>
                    <w:t xml:space="preserve">, a requirement of all written submissions at this site’s offering of N4416. </w:t>
                  </w:r>
                </w:p>
                <w:p w:rsidR="00544684" w:rsidRPr="00544684" w:rsidRDefault="00544684" w:rsidP="00544684">
                  <w:pPr>
                    <w:autoSpaceDE w:val="0"/>
                    <w:autoSpaceDN w:val="0"/>
                    <w:adjustRightInd w:val="0"/>
                    <w:ind w:left="-68"/>
                    <w:rPr>
                      <w:rFonts w:ascii="Arial" w:hAnsi="Arial" w:cs="Arial"/>
                      <w:szCs w:val="24"/>
                    </w:rPr>
                  </w:pPr>
                </w:p>
                <w:p w:rsidR="00544684" w:rsidRDefault="00544684" w:rsidP="00544684">
                  <w:pPr>
                    <w:autoSpaceDE w:val="0"/>
                    <w:autoSpaceDN w:val="0"/>
                    <w:adjustRightInd w:val="0"/>
                    <w:ind w:left="-68"/>
                    <w:rPr>
                      <w:rFonts w:ascii="Arial" w:hAnsi="Arial" w:cs="Arial"/>
                      <w:szCs w:val="24"/>
                    </w:rPr>
                  </w:pPr>
                  <w:r w:rsidRPr="00544684">
                    <w:rPr>
                      <w:rFonts w:ascii="Arial" w:hAnsi="Arial" w:cs="Arial"/>
                      <w:szCs w:val="24"/>
                    </w:rPr>
                    <w:t>4. Class times will be set for small group conversations about evolving research proposals.</w:t>
                  </w:r>
                </w:p>
              </w:tc>
            </w:tr>
          </w:tbl>
          <w:p w:rsidR="00544684" w:rsidRPr="004A1FD2" w:rsidRDefault="00544684" w:rsidP="00544684">
            <w:pPr>
              <w:autoSpaceDE w:val="0"/>
              <w:autoSpaceDN w:val="0"/>
              <w:adjustRightInd w:val="0"/>
              <w:rPr>
                <w:rFonts w:ascii="Arial" w:hAnsi="Arial" w:cs="Arial"/>
                <w:szCs w:val="24"/>
              </w:rPr>
            </w:pPr>
          </w:p>
        </w:tc>
      </w:tr>
    </w:tbl>
    <w:p w:rsidR="008C6C43" w:rsidRDefault="008C6C43"/>
    <w:tbl>
      <w:tblPr>
        <w:tblpPr w:leftFromText="180" w:rightFromText="180" w:vertAnchor="text" w:tblpY="73"/>
        <w:tblW w:w="0" w:type="auto"/>
        <w:tblLayout w:type="fixed"/>
        <w:tblLook w:val="0000" w:firstRow="0" w:lastRow="0" w:firstColumn="0" w:lastColumn="0" w:noHBand="0" w:noVBand="0"/>
      </w:tblPr>
      <w:tblGrid>
        <w:gridCol w:w="675"/>
        <w:gridCol w:w="8181"/>
      </w:tblGrid>
      <w:tr w:rsidR="004213A8" w:rsidTr="004D28EB">
        <w:trPr>
          <w:cantSplit/>
          <w:trHeight w:val="4050"/>
        </w:trPr>
        <w:tc>
          <w:tcPr>
            <w:tcW w:w="675" w:type="dxa"/>
          </w:tcPr>
          <w:p w:rsidR="004213A8" w:rsidRDefault="004213A8" w:rsidP="004213A8">
            <w:pPr>
              <w:rPr>
                <w:rFonts w:ascii="Arial" w:hAnsi="Arial"/>
                <w:b/>
              </w:rPr>
            </w:pPr>
            <w:r>
              <w:rPr>
                <w:rFonts w:ascii="Arial" w:hAnsi="Arial"/>
                <w:b/>
              </w:rPr>
              <w:t>V.</w:t>
            </w:r>
          </w:p>
        </w:tc>
        <w:tc>
          <w:tcPr>
            <w:tcW w:w="8181" w:type="dxa"/>
          </w:tcPr>
          <w:p w:rsidR="004213A8" w:rsidRPr="004213A8" w:rsidRDefault="004213A8" w:rsidP="004213A8">
            <w:pPr>
              <w:rPr>
                <w:rFonts w:ascii="Arial" w:hAnsi="Arial"/>
                <w:b/>
                <w:szCs w:val="24"/>
              </w:rPr>
            </w:pPr>
            <w:r w:rsidRPr="004213A8">
              <w:rPr>
                <w:rFonts w:ascii="Arial" w:hAnsi="Arial"/>
                <w:b/>
                <w:szCs w:val="24"/>
              </w:rPr>
              <w:t>EVALUATION PROCESS/GRADING SYSTEM:</w:t>
            </w:r>
          </w:p>
          <w:p w:rsidR="004213A8" w:rsidRPr="004213A8" w:rsidRDefault="004213A8" w:rsidP="004213A8">
            <w:pPr>
              <w:rPr>
                <w:szCs w:val="24"/>
              </w:rPr>
            </w:pPr>
          </w:p>
          <w:p w:rsidR="004213A8" w:rsidRPr="004213A8" w:rsidRDefault="004213A8" w:rsidP="004213A8">
            <w:pPr>
              <w:rPr>
                <w:rFonts w:ascii="Arial" w:hAnsi="Arial" w:cs="Arial"/>
                <w:szCs w:val="24"/>
              </w:rPr>
            </w:pPr>
            <w:r w:rsidRPr="004213A8">
              <w:rPr>
                <w:rFonts w:ascii="Arial" w:hAnsi="Arial" w:cs="Arial"/>
                <w:szCs w:val="24"/>
              </w:rPr>
              <w:t xml:space="preserve">A passing grade of 60% is required for all nursing courses.  The grade for </w:t>
            </w:r>
            <w:proofErr w:type="spellStart"/>
            <w:r w:rsidRPr="004213A8">
              <w:rPr>
                <w:rFonts w:ascii="Arial" w:hAnsi="Arial" w:cs="Arial"/>
                <w:szCs w:val="24"/>
              </w:rPr>
              <w:t>NURS</w:t>
            </w:r>
            <w:proofErr w:type="spellEnd"/>
            <w:r w:rsidRPr="004213A8">
              <w:rPr>
                <w:rFonts w:ascii="Arial" w:hAnsi="Arial" w:cs="Arial"/>
                <w:szCs w:val="24"/>
              </w:rPr>
              <w:t xml:space="preserve"> 4416 will be based on the following methods of evaluation.  </w:t>
            </w:r>
          </w:p>
          <w:p w:rsidR="004213A8" w:rsidRPr="004213A8" w:rsidRDefault="004213A8" w:rsidP="004213A8">
            <w:pPr>
              <w:rPr>
                <w:rFonts w:ascii="Arial" w:hAnsi="Arial" w:cs="Arial"/>
                <w:szCs w:val="24"/>
              </w:rPr>
            </w:pPr>
          </w:p>
          <w:tbl>
            <w:tblPr>
              <w:tblpPr w:leftFromText="180" w:rightFromText="180" w:vertAnchor="text" w:horzAnchor="margin" w:tblpXSpec="center" w:tblpY="172"/>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1015"/>
              <w:gridCol w:w="5107"/>
            </w:tblGrid>
            <w:tr w:rsidR="00425D53" w:rsidRPr="005F19D7" w:rsidTr="00425D53">
              <w:trPr>
                <w:trHeight w:val="293"/>
              </w:trPr>
              <w:tc>
                <w:tcPr>
                  <w:tcW w:w="2046" w:type="dxa"/>
                </w:tcPr>
                <w:p w:rsidR="00425D53" w:rsidRPr="005F19D7" w:rsidRDefault="00425D53" w:rsidP="00425D53">
                  <w:pPr>
                    <w:jc w:val="center"/>
                    <w:rPr>
                      <w:rFonts w:ascii="Arial" w:hAnsi="Arial" w:cs="Arial"/>
                      <w:b/>
                    </w:rPr>
                  </w:pPr>
                  <w:r w:rsidRPr="005F19D7">
                    <w:rPr>
                      <w:rFonts w:ascii="Arial" w:hAnsi="Arial" w:cs="Arial"/>
                      <w:b/>
                    </w:rPr>
                    <w:t>Date Due</w:t>
                  </w:r>
                </w:p>
              </w:tc>
              <w:tc>
                <w:tcPr>
                  <w:tcW w:w="1015" w:type="dxa"/>
                </w:tcPr>
                <w:p w:rsidR="00425D53" w:rsidRPr="005F19D7" w:rsidRDefault="00425D53" w:rsidP="00425D53">
                  <w:pPr>
                    <w:jc w:val="center"/>
                    <w:rPr>
                      <w:rFonts w:ascii="Arial" w:hAnsi="Arial" w:cs="Arial"/>
                      <w:b/>
                    </w:rPr>
                  </w:pPr>
                  <w:r w:rsidRPr="005F19D7">
                    <w:rPr>
                      <w:rFonts w:ascii="Arial" w:hAnsi="Arial" w:cs="Arial"/>
                      <w:b/>
                    </w:rPr>
                    <w:t>Value</w:t>
                  </w:r>
                </w:p>
              </w:tc>
              <w:tc>
                <w:tcPr>
                  <w:tcW w:w="5107" w:type="dxa"/>
                </w:tcPr>
                <w:p w:rsidR="00425D53" w:rsidRPr="005F19D7" w:rsidRDefault="00425D53" w:rsidP="00425D53">
                  <w:pPr>
                    <w:jc w:val="center"/>
                    <w:rPr>
                      <w:rFonts w:ascii="Arial" w:hAnsi="Arial" w:cs="Arial"/>
                      <w:b/>
                    </w:rPr>
                  </w:pPr>
                  <w:r w:rsidRPr="005F19D7">
                    <w:rPr>
                      <w:rFonts w:ascii="Arial" w:hAnsi="Arial" w:cs="Arial"/>
                      <w:b/>
                    </w:rPr>
                    <w:t>Evaluation Component</w:t>
                  </w:r>
                </w:p>
              </w:tc>
            </w:tr>
            <w:tr w:rsidR="00425D53" w:rsidRPr="005F19D7" w:rsidTr="00425D53">
              <w:trPr>
                <w:trHeight w:val="554"/>
              </w:trPr>
              <w:tc>
                <w:tcPr>
                  <w:tcW w:w="2046" w:type="dxa"/>
                </w:tcPr>
                <w:p w:rsidR="00425D53" w:rsidRPr="005F19D7" w:rsidRDefault="005546C7" w:rsidP="00425D53">
                  <w:pPr>
                    <w:rPr>
                      <w:rFonts w:ascii="Arial" w:hAnsi="Arial" w:cs="Arial"/>
                    </w:rPr>
                  </w:pPr>
                  <w:r>
                    <w:rPr>
                      <w:rFonts w:ascii="Arial" w:hAnsi="Arial" w:cs="Arial"/>
                    </w:rPr>
                    <w:t>September 30</w:t>
                  </w:r>
                  <w:r w:rsidR="00591441">
                    <w:rPr>
                      <w:rFonts w:ascii="Arial" w:hAnsi="Arial" w:cs="Arial"/>
                    </w:rPr>
                    <w:t>, 2014</w:t>
                  </w:r>
                </w:p>
              </w:tc>
              <w:tc>
                <w:tcPr>
                  <w:tcW w:w="1015" w:type="dxa"/>
                </w:tcPr>
                <w:p w:rsidR="00425D53" w:rsidRPr="005F19D7" w:rsidRDefault="00425D53" w:rsidP="00425D53">
                  <w:pPr>
                    <w:jc w:val="center"/>
                    <w:rPr>
                      <w:rFonts w:ascii="Arial" w:hAnsi="Arial" w:cs="Arial"/>
                    </w:rPr>
                  </w:pPr>
                  <w:r>
                    <w:rPr>
                      <w:rFonts w:ascii="Arial" w:hAnsi="Arial" w:cs="Arial"/>
                    </w:rPr>
                    <w:t>10%</w:t>
                  </w:r>
                </w:p>
              </w:tc>
              <w:tc>
                <w:tcPr>
                  <w:tcW w:w="5107" w:type="dxa"/>
                </w:tcPr>
                <w:p w:rsidR="00425D53" w:rsidRPr="005F19D7" w:rsidRDefault="00425D53" w:rsidP="00425D53">
                  <w:pPr>
                    <w:rPr>
                      <w:rFonts w:ascii="Arial" w:hAnsi="Arial" w:cs="Arial"/>
                    </w:rPr>
                  </w:pPr>
                  <w:r>
                    <w:rPr>
                      <w:rFonts w:ascii="Arial" w:hAnsi="Arial" w:cs="Arial"/>
                    </w:rPr>
                    <w:t>Background and Study Purpose Paper</w:t>
                  </w:r>
                </w:p>
              </w:tc>
            </w:tr>
            <w:tr w:rsidR="00425D53" w:rsidRPr="005F19D7" w:rsidTr="00425D53">
              <w:trPr>
                <w:trHeight w:val="554"/>
              </w:trPr>
              <w:tc>
                <w:tcPr>
                  <w:tcW w:w="2046" w:type="dxa"/>
                </w:tcPr>
                <w:p w:rsidR="00425D53" w:rsidRPr="005F19D7" w:rsidRDefault="00591441" w:rsidP="00425D53">
                  <w:pPr>
                    <w:rPr>
                      <w:rFonts w:ascii="Arial" w:hAnsi="Arial" w:cs="Arial"/>
                    </w:rPr>
                  </w:pPr>
                  <w:r>
                    <w:rPr>
                      <w:rFonts w:ascii="Arial" w:hAnsi="Arial" w:cs="Arial"/>
                    </w:rPr>
                    <w:t>November 11 &amp; 18, 2014</w:t>
                  </w:r>
                </w:p>
              </w:tc>
              <w:tc>
                <w:tcPr>
                  <w:tcW w:w="1015" w:type="dxa"/>
                </w:tcPr>
                <w:p w:rsidR="00425D53" w:rsidRPr="005F19D7" w:rsidRDefault="00425D53" w:rsidP="00425D53">
                  <w:pPr>
                    <w:jc w:val="center"/>
                    <w:rPr>
                      <w:rFonts w:ascii="Arial" w:hAnsi="Arial" w:cs="Arial"/>
                    </w:rPr>
                  </w:pPr>
                  <w:r>
                    <w:rPr>
                      <w:rFonts w:ascii="Arial" w:hAnsi="Arial" w:cs="Arial"/>
                    </w:rPr>
                    <w:t>30%</w:t>
                  </w:r>
                </w:p>
              </w:tc>
              <w:tc>
                <w:tcPr>
                  <w:tcW w:w="5107" w:type="dxa"/>
                </w:tcPr>
                <w:p w:rsidR="00425D53" w:rsidRPr="005F19D7" w:rsidRDefault="00425D53" w:rsidP="00425D53">
                  <w:pPr>
                    <w:rPr>
                      <w:rFonts w:ascii="Arial" w:hAnsi="Arial" w:cs="Arial"/>
                    </w:rPr>
                  </w:pPr>
                  <w:r>
                    <w:rPr>
                      <w:rFonts w:ascii="Arial" w:hAnsi="Arial" w:cs="Arial"/>
                    </w:rPr>
                    <w:t>Academic Presentation</w:t>
                  </w:r>
                </w:p>
              </w:tc>
            </w:tr>
            <w:tr w:rsidR="00425D53" w:rsidTr="00425D53">
              <w:trPr>
                <w:trHeight w:val="293"/>
              </w:trPr>
              <w:tc>
                <w:tcPr>
                  <w:tcW w:w="2046" w:type="dxa"/>
                </w:tcPr>
                <w:p w:rsidR="00425D53" w:rsidRDefault="00591441" w:rsidP="00425D53">
                  <w:pPr>
                    <w:rPr>
                      <w:rFonts w:ascii="Arial" w:hAnsi="Arial" w:cs="Arial"/>
                    </w:rPr>
                  </w:pPr>
                  <w:r>
                    <w:rPr>
                      <w:rFonts w:ascii="Arial" w:hAnsi="Arial" w:cs="Arial"/>
                    </w:rPr>
                    <w:t>December 2, 2014</w:t>
                  </w:r>
                </w:p>
              </w:tc>
              <w:tc>
                <w:tcPr>
                  <w:tcW w:w="1015" w:type="dxa"/>
                </w:tcPr>
                <w:p w:rsidR="00425D53" w:rsidRDefault="00425D53" w:rsidP="00425D53">
                  <w:pPr>
                    <w:jc w:val="center"/>
                    <w:rPr>
                      <w:rFonts w:ascii="Arial" w:hAnsi="Arial" w:cs="Arial"/>
                    </w:rPr>
                  </w:pPr>
                  <w:r>
                    <w:rPr>
                      <w:rFonts w:ascii="Arial" w:hAnsi="Arial" w:cs="Arial"/>
                    </w:rPr>
                    <w:t>60%</w:t>
                  </w:r>
                </w:p>
              </w:tc>
              <w:tc>
                <w:tcPr>
                  <w:tcW w:w="5107" w:type="dxa"/>
                </w:tcPr>
                <w:p w:rsidR="00425D53" w:rsidRDefault="00425D53" w:rsidP="00425D53">
                  <w:pPr>
                    <w:rPr>
                      <w:rFonts w:ascii="Arial" w:hAnsi="Arial" w:cs="Arial"/>
                    </w:rPr>
                  </w:pPr>
                  <w:r>
                    <w:rPr>
                      <w:rFonts w:ascii="Arial" w:hAnsi="Arial" w:cs="Arial"/>
                    </w:rPr>
                    <w:t>Comprehensive Research Proposal</w:t>
                  </w:r>
                </w:p>
                <w:p w:rsidR="00425D53" w:rsidRDefault="00425D53" w:rsidP="00425D53">
                  <w:pPr>
                    <w:rPr>
                      <w:rFonts w:ascii="Arial" w:hAnsi="Arial" w:cs="Arial"/>
                    </w:rPr>
                  </w:pPr>
                </w:p>
              </w:tc>
            </w:tr>
          </w:tbl>
          <w:p w:rsidR="004213A8" w:rsidRPr="004213A8" w:rsidRDefault="004213A8" w:rsidP="004213A8">
            <w:pPr>
              <w:rPr>
                <w:rFonts w:ascii="Arial" w:hAnsi="Arial" w:cs="Arial"/>
                <w:szCs w:val="24"/>
              </w:rPr>
            </w:pPr>
          </w:p>
          <w:p w:rsidR="004213A8" w:rsidRPr="004213A8" w:rsidRDefault="004213A8" w:rsidP="004D28EB">
            <w:pPr>
              <w:widowControl w:val="0"/>
              <w:rPr>
                <w:rFonts w:ascii="Arial" w:hAnsi="Arial" w:cs="Arial"/>
                <w:bCs/>
                <w:szCs w:val="24"/>
              </w:rPr>
            </w:pPr>
            <w:r w:rsidRPr="004213A8">
              <w:rPr>
                <w:rFonts w:ascii="Arial" w:hAnsi="Arial" w:cs="Arial"/>
                <w:bCs/>
                <w:szCs w:val="24"/>
              </w:rPr>
              <w:t xml:space="preserve">The school policy on written assignments, as described in the Student Handbook, applies to </w:t>
            </w:r>
            <w:r w:rsidRPr="004213A8">
              <w:rPr>
                <w:rFonts w:ascii="Arial" w:hAnsi="Arial" w:cs="Arial"/>
                <w:b/>
                <w:szCs w:val="24"/>
                <w:u w:val="single"/>
              </w:rPr>
              <w:t>all</w:t>
            </w:r>
            <w:r w:rsidRPr="004213A8">
              <w:rPr>
                <w:rFonts w:ascii="Arial" w:hAnsi="Arial" w:cs="Arial"/>
                <w:bCs/>
                <w:szCs w:val="24"/>
              </w:rPr>
              <w:t xml:space="preserve"> assignments. </w:t>
            </w:r>
            <w:r w:rsidR="00FC20AE">
              <w:rPr>
                <w:rFonts w:ascii="Arial" w:hAnsi="Arial" w:cs="Arial"/>
                <w:bCs/>
                <w:szCs w:val="24"/>
              </w:rPr>
              <w:t xml:space="preserve">Citation of references and </w:t>
            </w:r>
            <w:proofErr w:type="spellStart"/>
            <w:r w:rsidRPr="004213A8">
              <w:rPr>
                <w:rFonts w:ascii="Arial" w:hAnsi="Arial" w:cs="Arial"/>
                <w:bCs/>
                <w:szCs w:val="24"/>
              </w:rPr>
              <w:t>APA</w:t>
            </w:r>
            <w:proofErr w:type="spellEnd"/>
            <w:r w:rsidRPr="004213A8">
              <w:rPr>
                <w:rFonts w:ascii="Arial" w:hAnsi="Arial" w:cs="Arial"/>
                <w:bCs/>
                <w:szCs w:val="24"/>
              </w:rPr>
              <w:t xml:space="preserve"> format is required unless specifically stated otherwise.  </w:t>
            </w:r>
          </w:p>
        </w:tc>
      </w:tr>
      <w:tr w:rsidR="004213A8" w:rsidRPr="00B80C52" w:rsidTr="004213A8">
        <w:trPr>
          <w:cantSplit/>
        </w:trPr>
        <w:tc>
          <w:tcPr>
            <w:tcW w:w="675" w:type="dxa"/>
          </w:tcPr>
          <w:p w:rsidR="004213A8" w:rsidRPr="00B80C52" w:rsidRDefault="004213A8" w:rsidP="004213A8">
            <w:pPr>
              <w:pStyle w:val="EnvelopeReturn"/>
              <w:rPr>
                <w:sz w:val="22"/>
                <w:szCs w:val="22"/>
              </w:rPr>
            </w:pPr>
          </w:p>
        </w:tc>
        <w:tc>
          <w:tcPr>
            <w:tcW w:w="8181" w:type="dxa"/>
          </w:tcPr>
          <w:p w:rsidR="004213A8" w:rsidRPr="004213A8" w:rsidRDefault="004213A8" w:rsidP="004213A8">
            <w:pPr>
              <w:rPr>
                <w:rFonts w:ascii="Arial" w:hAnsi="Arial"/>
                <w:szCs w:val="24"/>
              </w:rPr>
            </w:pPr>
            <w:r w:rsidRPr="004213A8">
              <w:rPr>
                <w:rFonts w:ascii="Arial" w:hAnsi="Arial"/>
                <w:szCs w:val="24"/>
              </w:rPr>
              <w:t>The following semester grades will be assigned to students:</w:t>
            </w:r>
          </w:p>
        </w:tc>
      </w:tr>
    </w:tbl>
    <w:p w:rsidR="003B5AAC" w:rsidRPr="00B80C52" w:rsidRDefault="003B5AAC">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jc w:val="center"/>
              <w:rPr>
                <w:rFonts w:ascii="Arial" w:hAnsi="Arial" w:cs="Arial"/>
                <w:iCs/>
                <w:szCs w:val="24"/>
              </w:rPr>
            </w:pPr>
          </w:p>
          <w:p w:rsidR="00D1300B" w:rsidRPr="004213A8" w:rsidRDefault="00D1300B">
            <w:pPr>
              <w:pStyle w:val="Heading2"/>
              <w:rPr>
                <w:rFonts w:ascii="Arial" w:hAnsi="Arial" w:cs="Arial"/>
                <w:b w:val="0"/>
                <w:szCs w:val="24"/>
                <w:u w:val="single"/>
              </w:rPr>
            </w:pPr>
            <w:r w:rsidRPr="004213A8">
              <w:rPr>
                <w:rFonts w:ascii="Arial" w:hAnsi="Arial" w:cs="Arial"/>
                <w:b w:val="0"/>
                <w:szCs w:val="24"/>
                <w:u w:val="single"/>
              </w:rPr>
              <w:t>Grade</w:t>
            </w:r>
          </w:p>
        </w:tc>
        <w:tc>
          <w:tcPr>
            <w:tcW w:w="4678" w:type="dxa"/>
          </w:tcPr>
          <w:p w:rsidR="00D1300B" w:rsidRPr="004213A8" w:rsidRDefault="00D1300B">
            <w:pPr>
              <w:jc w:val="center"/>
              <w:rPr>
                <w:rFonts w:ascii="Arial" w:hAnsi="Arial" w:cs="Arial"/>
                <w:iCs/>
                <w:szCs w:val="24"/>
              </w:rPr>
            </w:pPr>
          </w:p>
          <w:p w:rsidR="00D1300B" w:rsidRPr="004213A8" w:rsidRDefault="00D1300B">
            <w:pPr>
              <w:pStyle w:val="Heading1"/>
              <w:rPr>
                <w:rFonts w:ascii="Arial" w:hAnsi="Arial" w:cs="Arial"/>
                <w:b w:val="0"/>
                <w:szCs w:val="24"/>
              </w:rPr>
            </w:pPr>
            <w:r w:rsidRPr="004213A8">
              <w:rPr>
                <w:rFonts w:ascii="Arial" w:hAnsi="Arial" w:cs="Arial"/>
                <w:b w:val="0"/>
                <w:szCs w:val="24"/>
              </w:rPr>
              <w:t>Definition</w:t>
            </w:r>
          </w:p>
        </w:tc>
        <w:tc>
          <w:tcPr>
            <w:tcW w:w="1802" w:type="dxa"/>
          </w:tcPr>
          <w:p w:rsidR="00D1300B" w:rsidRPr="004213A8" w:rsidRDefault="00D1300B">
            <w:pPr>
              <w:jc w:val="center"/>
              <w:rPr>
                <w:rFonts w:ascii="Arial" w:hAnsi="Arial" w:cs="Arial"/>
                <w:iCs/>
                <w:szCs w:val="24"/>
              </w:rPr>
            </w:pPr>
            <w:r w:rsidRPr="004213A8">
              <w:rPr>
                <w:rFonts w:ascii="Arial" w:hAnsi="Arial" w:cs="Arial"/>
                <w:iCs/>
                <w:szCs w:val="24"/>
              </w:rPr>
              <w:t xml:space="preserve">Grade Point </w:t>
            </w:r>
            <w:r w:rsidRPr="004213A8">
              <w:rPr>
                <w:rFonts w:ascii="Arial" w:hAnsi="Arial" w:cs="Arial"/>
                <w:iCs/>
                <w:szCs w:val="24"/>
                <w:u w:val="single"/>
              </w:rPr>
              <w:t>Equivalent</w:t>
            </w:r>
          </w:p>
        </w:tc>
      </w:tr>
      <w:tr w:rsidR="00D1300B" w:rsidRPr="004213A8">
        <w:trPr>
          <w:cantSplit/>
        </w:trPr>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A+</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90 – 100%</w:t>
            </w:r>
          </w:p>
        </w:tc>
        <w:tc>
          <w:tcPr>
            <w:tcW w:w="1802" w:type="dxa"/>
            <w:vMerge w:val="restart"/>
            <w:vAlign w:val="center"/>
          </w:tcPr>
          <w:p w:rsidR="00D1300B" w:rsidRPr="004213A8" w:rsidRDefault="00D1300B">
            <w:pPr>
              <w:jc w:val="center"/>
              <w:rPr>
                <w:rFonts w:ascii="Arial" w:hAnsi="Arial" w:cs="Arial"/>
                <w:szCs w:val="24"/>
              </w:rPr>
            </w:pPr>
            <w:r w:rsidRPr="004213A8">
              <w:rPr>
                <w:rFonts w:ascii="Arial" w:hAnsi="Arial" w:cs="Arial"/>
                <w:szCs w:val="24"/>
              </w:rPr>
              <w:t>4.00</w:t>
            </w:r>
          </w:p>
        </w:tc>
      </w:tr>
      <w:tr w:rsidR="00D1300B" w:rsidRPr="004213A8">
        <w:trPr>
          <w:cantSplit/>
        </w:trPr>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A</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80 – 89%</w:t>
            </w:r>
          </w:p>
        </w:tc>
        <w:tc>
          <w:tcPr>
            <w:tcW w:w="1802" w:type="dxa"/>
            <w:vMerge/>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B</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70 - 79%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3.00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C</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60 - 69%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2.00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D</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50 – 59%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1.00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F (Fail)</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49% and below</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0.00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p>
        </w:tc>
        <w:tc>
          <w:tcPr>
            <w:tcW w:w="4678" w:type="dxa"/>
          </w:tcPr>
          <w:p w:rsidR="00D1300B" w:rsidRPr="004213A8" w:rsidRDefault="00D1300B">
            <w:pPr>
              <w:rPr>
                <w:rFonts w:ascii="Arial" w:hAnsi="Arial" w:cs="Arial"/>
                <w:szCs w:val="24"/>
              </w:rPr>
            </w:pPr>
          </w:p>
        </w:tc>
        <w:tc>
          <w:tcPr>
            <w:tcW w:w="1802" w:type="dxa"/>
          </w:tcPr>
          <w:p w:rsidR="00D1300B" w:rsidRPr="004213A8" w:rsidRDefault="00D1300B">
            <w:pPr>
              <w:jc w:val="center"/>
              <w:rPr>
                <w:rFonts w:ascii="Arial" w:hAnsi="Arial" w:cs="Arial"/>
                <w:szCs w:val="24"/>
              </w:rPr>
            </w:pPr>
          </w:p>
        </w:tc>
      </w:tr>
    </w:tbl>
    <w:p w:rsidR="008F5C58" w:rsidRDefault="008F5C58">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CR (Credit)</w:t>
            </w:r>
          </w:p>
        </w:tc>
        <w:tc>
          <w:tcPr>
            <w:tcW w:w="4678" w:type="dxa"/>
          </w:tcPr>
          <w:p w:rsidR="00111A4D" w:rsidRPr="004213A8" w:rsidRDefault="00D1300B">
            <w:pPr>
              <w:rPr>
                <w:rFonts w:ascii="Arial" w:hAnsi="Arial" w:cs="Arial"/>
                <w:szCs w:val="24"/>
              </w:rPr>
            </w:pPr>
            <w:r w:rsidRPr="004213A8">
              <w:rPr>
                <w:rFonts w:ascii="Arial" w:hAnsi="Arial" w:cs="Arial"/>
                <w:szCs w:val="24"/>
              </w:rPr>
              <w:t>Credit for diploma requirements has been awarded.</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S</w:t>
            </w:r>
          </w:p>
        </w:tc>
        <w:tc>
          <w:tcPr>
            <w:tcW w:w="4678" w:type="dxa"/>
          </w:tcPr>
          <w:p w:rsidR="00111A4D" w:rsidRPr="004213A8" w:rsidRDefault="00D1300B">
            <w:pPr>
              <w:rPr>
                <w:rFonts w:ascii="Arial" w:hAnsi="Arial" w:cs="Arial"/>
                <w:szCs w:val="24"/>
              </w:rPr>
            </w:pPr>
            <w:r w:rsidRPr="004213A8">
              <w:rPr>
                <w:rFonts w:ascii="Arial" w:hAnsi="Arial" w:cs="Arial"/>
                <w:szCs w:val="24"/>
              </w:rPr>
              <w:t>Satisfactory achievement in field /clinical placement or non-graded subject area.</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U</w:t>
            </w:r>
          </w:p>
        </w:tc>
        <w:tc>
          <w:tcPr>
            <w:tcW w:w="4678" w:type="dxa"/>
          </w:tcPr>
          <w:p w:rsidR="00111A4D" w:rsidRPr="004213A8" w:rsidRDefault="00D1300B">
            <w:pPr>
              <w:rPr>
                <w:rFonts w:ascii="Arial" w:hAnsi="Arial" w:cs="Arial"/>
                <w:szCs w:val="24"/>
              </w:rPr>
            </w:pPr>
            <w:r w:rsidRPr="004213A8">
              <w:rPr>
                <w:rFonts w:ascii="Arial" w:hAnsi="Arial" w:cs="Arial"/>
                <w:szCs w:val="24"/>
              </w:rPr>
              <w:t>Unsatisfactory achievement in field/clinical placement or non-graded subject area.</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X</w:t>
            </w:r>
          </w:p>
        </w:tc>
        <w:tc>
          <w:tcPr>
            <w:tcW w:w="4678" w:type="dxa"/>
          </w:tcPr>
          <w:p w:rsidR="00111A4D" w:rsidRPr="004213A8" w:rsidRDefault="00D1300B">
            <w:pPr>
              <w:rPr>
                <w:rFonts w:ascii="Arial" w:hAnsi="Arial" w:cs="Arial"/>
                <w:szCs w:val="24"/>
              </w:rPr>
            </w:pPr>
            <w:r w:rsidRPr="004213A8">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NR</w:t>
            </w:r>
          </w:p>
        </w:tc>
        <w:tc>
          <w:tcPr>
            <w:tcW w:w="4678" w:type="dxa"/>
          </w:tcPr>
          <w:p w:rsidR="00111A4D" w:rsidRPr="004213A8" w:rsidRDefault="00D1300B">
            <w:pPr>
              <w:rPr>
                <w:rFonts w:ascii="Arial" w:hAnsi="Arial" w:cs="Arial"/>
                <w:szCs w:val="24"/>
              </w:rPr>
            </w:pPr>
            <w:r w:rsidRPr="004213A8">
              <w:rPr>
                <w:rFonts w:ascii="Arial" w:hAnsi="Arial" w:cs="Arial"/>
                <w:szCs w:val="24"/>
              </w:rPr>
              <w:t xml:space="preserve">Grade not reported to Registrar's office.  </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W</w:t>
            </w:r>
          </w:p>
        </w:tc>
        <w:tc>
          <w:tcPr>
            <w:tcW w:w="4678" w:type="dxa"/>
          </w:tcPr>
          <w:p w:rsidR="00111A4D" w:rsidRPr="004213A8" w:rsidRDefault="00D1300B">
            <w:pPr>
              <w:rPr>
                <w:rFonts w:ascii="Arial" w:hAnsi="Arial" w:cs="Arial"/>
                <w:szCs w:val="24"/>
              </w:rPr>
            </w:pPr>
            <w:r w:rsidRPr="004213A8">
              <w:rPr>
                <w:rFonts w:ascii="Arial" w:hAnsi="Arial" w:cs="Arial"/>
                <w:szCs w:val="24"/>
              </w:rPr>
              <w:t>Student has withdrawn from the course without academic penalty.</w:t>
            </w:r>
          </w:p>
        </w:tc>
        <w:tc>
          <w:tcPr>
            <w:tcW w:w="1802" w:type="dxa"/>
          </w:tcPr>
          <w:p w:rsidR="00D1300B" w:rsidRPr="004213A8" w:rsidRDefault="00D1300B">
            <w:pPr>
              <w:jc w:val="center"/>
              <w:rPr>
                <w:rFonts w:ascii="Arial" w:hAnsi="Arial" w:cs="Arial"/>
                <w:szCs w:val="24"/>
              </w:rPr>
            </w:pPr>
          </w:p>
        </w:tc>
      </w:tr>
    </w:tbl>
    <w:p w:rsidR="00D1300B" w:rsidRPr="00B80C52" w:rsidRDefault="00D1300B">
      <w:pPr>
        <w:rPr>
          <w:rFonts w:ascii="Arial" w:hAnsi="Arial" w:cs="Arial"/>
          <w:sz w:val="22"/>
          <w:szCs w:val="22"/>
        </w:rPr>
      </w:pPr>
    </w:p>
    <w:p w:rsidR="003043D0" w:rsidRPr="00B80C52" w:rsidRDefault="003043D0">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D1300B" w:rsidRPr="004213A8">
        <w:trPr>
          <w:cantSplit/>
        </w:trPr>
        <w:tc>
          <w:tcPr>
            <w:tcW w:w="675" w:type="dxa"/>
          </w:tcPr>
          <w:p w:rsidR="00D1300B" w:rsidRPr="004213A8" w:rsidRDefault="00D1300B">
            <w:pPr>
              <w:rPr>
                <w:rFonts w:ascii="Arial" w:hAnsi="Arial"/>
                <w:b/>
                <w:szCs w:val="24"/>
              </w:rPr>
            </w:pPr>
            <w:r w:rsidRPr="004213A8">
              <w:rPr>
                <w:rFonts w:ascii="Arial" w:hAnsi="Arial"/>
                <w:b/>
                <w:szCs w:val="24"/>
              </w:rPr>
              <w:t>VI.</w:t>
            </w:r>
          </w:p>
        </w:tc>
        <w:tc>
          <w:tcPr>
            <w:tcW w:w="8181" w:type="dxa"/>
            <w:gridSpan w:val="2"/>
          </w:tcPr>
          <w:p w:rsidR="003A0238" w:rsidRPr="004213A8" w:rsidRDefault="00D1300B" w:rsidP="003A0238">
            <w:pPr>
              <w:rPr>
                <w:rFonts w:ascii="Arial" w:hAnsi="Arial"/>
                <w:b/>
                <w:szCs w:val="24"/>
              </w:rPr>
            </w:pPr>
            <w:r w:rsidRPr="004213A8">
              <w:rPr>
                <w:rFonts w:ascii="Arial" w:hAnsi="Arial"/>
                <w:b/>
                <w:szCs w:val="24"/>
              </w:rPr>
              <w:t>SPECIAL NOTES</w:t>
            </w:r>
            <w:r w:rsidR="003A0238" w:rsidRPr="004213A8">
              <w:rPr>
                <w:rFonts w:ascii="Arial" w:hAnsi="Arial"/>
                <w:b/>
                <w:szCs w:val="24"/>
              </w:rPr>
              <w:t>:</w:t>
            </w:r>
          </w:p>
          <w:p w:rsidR="00D1300B" w:rsidRPr="004213A8" w:rsidRDefault="00D1300B">
            <w:pPr>
              <w:rPr>
                <w:rFonts w:ascii="Arial" w:hAnsi="Arial"/>
                <w:szCs w:val="24"/>
              </w:rPr>
            </w:pPr>
          </w:p>
        </w:tc>
      </w:tr>
      <w:tr w:rsidR="00EF4EC9" w:rsidRPr="004213A8" w:rsidTr="004E298B">
        <w:trPr>
          <w:gridAfter w:val="1"/>
          <w:wAfter w:w="18" w:type="dxa"/>
          <w:cantSplit/>
        </w:trPr>
        <w:tc>
          <w:tcPr>
            <w:tcW w:w="8838" w:type="dxa"/>
            <w:gridSpan w:val="2"/>
          </w:tcPr>
          <w:p w:rsidR="00EF4EC9" w:rsidRDefault="00366709" w:rsidP="00EF4EC9">
            <w:pPr>
              <w:rPr>
                <w:rFonts w:ascii="Arial" w:hAnsi="Arial" w:cs="Arial"/>
                <w:b/>
                <w:szCs w:val="24"/>
                <w:u w:val="single"/>
              </w:rPr>
            </w:pPr>
            <w:r>
              <w:rPr>
                <w:rFonts w:ascii="Arial" w:hAnsi="Arial" w:cs="Arial"/>
                <w:b/>
                <w:szCs w:val="24"/>
                <w:u w:val="single"/>
              </w:rPr>
              <w:t>Attendance</w:t>
            </w:r>
          </w:p>
          <w:p w:rsidR="004213A8" w:rsidRPr="004213A8" w:rsidRDefault="004213A8" w:rsidP="00EF4EC9">
            <w:pPr>
              <w:rPr>
                <w:rFonts w:ascii="Arial" w:hAnsi="Arial" w:cs="Arial"/>
                <w:b/>
                <w:szCs w:val="24"/>
                <w:u w:val="single"/>
              </w:rPr>
            </w:pPr>
          </w:p>
          <w:p w:rsidR="00371039" w:rsidRPr="004213A8" w:rsidRDefault="00EF4EC9" w:rsidP="00371039">
            <w:pPr>
              <w:rPr>
                <w:rFonts w:ascii="Arial" w:hAnsi="Arial" w:cs="Arial"/>
                <w:szCs w:val="24"/>
              </w:rPr>
            </w:pPr>
            <w:r w:rsidRPr="004213A8">
              <w:rPr>
                <w:rFonts w:ascii="Arial" w:hAnsi="Arial" w:cs="Arial"/>
                <w:szCs w:val="24"/>
              </w:rPr>
              <w:t>Sault College is committed to student success.  There is a direct correlation between academic performance and class attendance</w:t>
            </w:r>
            <w:r w:rsidR="00FC20AE">
              <w:rPr>
                <w:rFonts w:ascii="Arial" w:hAnsi="Arial" w:cs="Arial"/>
                <w:szCs w:val="24"/>
              </w:rPr>
              <w:t xml:space="preserve">.  Because of this, it is in the best interest for each student </w:t>
            </w:r>
            <w:r w:rsidRPr="004213A8">
              <w:rPr>
                <w:rFonts w:ascii="Arial" w:hAnsi="Arial" w:cs="Arial"/>
                <w:szCs w:val="24"/>
              </w:rPr>
              <w:t xml:space="preserve">to attend </w:t>
            </w:r>
            <w:r w:rsidR="00FC20AE">
              <w:rPr>
                <w:rFonts w:ascii="Arial" w:hAnsi="Arial" w:cs="Arial"/>
                <w:szCs w:val="24"/>
              </w:rPr>
              <w:t>every</w:t>
            </w:r>
            <w:r w:rsidRPr="004213A8">
              <w:rPr>
                <w:rFonts w:ascii="Arial" w:hAnsi="Arial" w:cs="Arial"/>
                <w:szCs w:val="24"/>
              </w:rPr>
              <w:t xml:space="preserve"> scheduled learning and evaluation sessions</w:t>
            </w:r>
            <w:r w:rsidR="00FC20AE">
              <w:rPr>
                <w:rFonts w:ascii="Arial" w:hAnsi="Arial" w:cs="Arial"/>
                <w:szCs w:val="24"/>
              </w:rPr>
              <w:t xml:space="preserve"> by starting on time, fully participating in the shared learning experience, and staying for the full learning session</w:t>
            </w:r>
            <w:r w:rsidRPr="004213A8">
              <w:rPr>
                <w:rFonts w:ascii="Arial" w:hAnsi="Arial" w:cs="Arial"/>
                <w:szCs w:val="24"/>
              </w:rPr>
              <w:t xml:space="preserve">. </w:t>
            </w:r>
          </w:p>
          <w:p w:rsidR="00EF4EC9" w:rsidRPr="004213A8" w:rsidRDefault="00EF4EC9" w:rsidP="00371039">
            <w:pPr>
              <w:rPr>
                <w:rFonts w:ascii="Arial" w:hAnsi="Arial"/>
                <w:szCs w:val="24"/>
              </w:rPr>
            </w:pPr>
            <w:r w:rsidRPr="004213A8">
              <w:rPr>
                <w:rFonts w:ascii="Arial" w:hAnsi="Arial" w:cs="Arial"/>
                <w:szCs w:val="24"/>
              </w:rPr>
              <w:t xml:space="preserve"> </w:t>
            </w:r>
          </w:p>
        </w:tc>
      </w:tr>
      <w:tr w:rsidR="00EF4EC9" w:rsidRPr="004213A8" w:rsidTr="004E298B">
        <w:trPr>
          <w:gridAfter w:val="1"/>
          <w:wAfter w:w="18" w:type="dxa"/>
          <w:cantSplit/>
        </w:trPr>
        <w:tc>
          <w:tcPr>
            <w:tcW w:w="8838" w:type="dxa"/>
            <w:gridSpan w:val="2"/>
          </w:tcPr>
          <w:p w:rsidR="00EF4EC9" w:rsidRPr="004D28EB" w:rsidRDefault="00371039" w:rsidP="00371039">
            <w:pPr>
              <w:rPr>
                <w:rFonts w:ascii="Arial" w:hAnsi="Arial"/>
                <w:bCs/>
                <w:szCs w:val="24"/>
              </w:rPr>
            </w:pPr>
            <w:r w:rsidRPr="004213A8">
              <w:rPr>
                <w:rFonts w:ascii="Arial" w:hAnsi="Arial"/>
                <w:bCs/>
                <w:szCs w:val="24"/>
              </w:rPr>
              <w:t>If there are extenuating circumstances bearing upon a student’s absence, the course professor should be notified.  Absences in excess of 20% may jeopardize receipt of credit for the course.</w:t>
            </w:r>
          </w:p>
        </w:tc>
      </w:tr>
    </w:tbl>
    <w:p w:rsidR="00E8152E" w:rsidRPr="00B80C52" w:rsidRDefault="00E8152E">
      <w:pPr>
        <w:rPr>
          <w:sz w:val="22"/>
          <w:szCs w:val="22"/>
        </w:rPr>
      </w:pPr>
    </w:p>
    <w:p w:rsidR="00D41E2E" w:rsidRPr="00B80C52" w:rsidRDefault="00D41E2E">
      <w:pPr>
        <w:rPr>
          <w:sz w:val="22"/>
          <w:szCs w:val="22"/>
        </w:rPr>
      </w:pPr>
    </w:p>
    <w:tbl>
      <w:tblPr>
        <w:tblW w:w="0" w:type="auto"/>
        <w:tblLayout w:type="fixed"/>
        <w:tblLook w:val="0000" w:firstRow="0" w:lastRow="0" w:firstColumn="0" w:lastColumn="0" w:noHBand="0" w:noVBand="0"/>
      </w:tblPr>
      <w:tblGrid>
        <w:gridCol w:w="675"/>
        <w:gridCol w:w="8181"/>
      </w:tblGrid>
      <w:tr w:rsidR="00CB4EB0" w:rsidRPr="004213A8" w:rsidTr="00CB4EB0">
        <w:trPr>
          <w:cantSplit/>
        </w:trPr>
        <w:tc>
          <w:tcPr>
            <w:tcW w:w="675" w:type="dxa"/>
          </w:tcPr>
          <w:p w:rsidR="00CB4EB0" w:rsidRPr="004213A8" w:rsidRDefault="00CB4EB0" w:rsidP="00CB4EB0">
            <w:pPr>
              <w:rPr>
                <w:rFonts w:ascii="Arial" w:hAnsi="Arial"/>
                <w:b/>
                <w:szCs w:val="24"/>
              </w:rPr>
            </w:pPr>
            <w:r w:rsidRPr="004213A8">
              <w:rPr>
                <w:rFonts w:ascii="Arial" w:hAnsi="Arial"/>
                <w:b/>
                <w:szCs w:val="24"/>
              </w:rPr>
              <w:t>VII.</w:t>
            </w:r>
          </w:p>
        </w:tc>
        <w:tc>
          <w:tcPr>
            <w:tcW w:w="8181" w:type="dxa"/>
          </w:tcPr>
          <w:p w:rsidR="00CB4EB0" w:rsidRPr="004213A8" w:rsidRDefault="00CB4EB0" w:rsidP="00CB4EB0">
            <w:pPr>
              <w:rPr>
                <w:rFonts w:ascii="Arial" w:hAnsi="Arial"/>
                <w:b/>
                <w:szCs w:val="24"/>
              </w:rPr>
            </w:pPr>
            <w:r w:rsidRPr="004213A8">
              <w:rPr>
                <w:rFonts w:ascii="Arial" w:hAnsi="Arial"/>
                <w:b/>
                <w:szCs w:val="24"/>
              </w:rPr>
              <w:t>COURSE OUTLINE ADDENDUM:</w:t>
            </w:r>
          </w:p>
          <w:p w:rsidR="00CB4EB0" w:rsidRPr="004213A8" w:rsidRDefault="00CB4EB0" w:rsidP="00CB4EB0">
            <w:pPr>
              <w:rPr>
                <w:rFonts w:ascii="Arial" w:hAnsi="Arial"/>
                <w:b/>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1.</w:t>
            </w:r>
          </w:p>
        </w:tc>
        <w:tc>
          <w:tcPr>
            <w:tcW w:w="8181" w:type="dxa"/>
          </w:tcPr>
          <w:p w:rsidR="008F5C58" w:rsidRPr="008F5C58" w:rsidRDefault="008F5C58">
            <w:pPr>
              <w:rPr>
                <w:rFonts w:ascii="Arial" w:hAnsi="Arial"/>
                <w:szCs w:val="24"/>
              </w:rPr>
            </w:pPr>
            <w:r w:rsidRPr="008F5C58">
              <w:rPr>
                <w:rFonts w:ascii="Arial" w:hAnsi="Arial"/>
                <w:szCs w:val="24"/>
                <w:u w:val="single"/>
              </w:rPr>
              <w:t>Course Outline Amendments</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The professor reserves the right to change the information contained in this course outline depending on the needs of the learner and the availability of resources.</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2.</w:t>
            </w:r>
          </w:p>
        </w:tc>
        <w:tc>
          <w:tcPr>
            <w:tcW w:w="8181" w:type="dxa"/>
          </w:tcPr>
          <w:p w:rsidR="008F5C58" w:rsidRPr="008F5C58" w:rsidRDefault="008F5C58">
            <w:pPr>
              <w:rPr>
                <w:rFonts w:ascii="Arial" w:hAnsi="Arial"/>
                <w:szCs w:val="24"/>
              </w:rPr>
            </w:pPr>
            <w:r w:rsidRPr="008F5C58">
              <w:rPr>
                <w:rFonts w:ascii="Arial" w:hAnsi="Arial"/>
                <w:szCs w:val="24"/>
                <w:u w:val="single"/>
              </w:rPr>
              <w:t>Retention of Course Outlines</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It is the responsibility of the student to retain all course outlines for possible future use in acquiring advanced standing at other postsecondary institutions.</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3.</w:t>
            </w:r>
          </w:p>
        </w:tc>
        <w:tc>
          <w:tcPr>
            <w:tcW w:w="8181" w:type="dxa"/>
          </w:tcPr>
          <w:p w:rsidR="008F5C58" w:rsidRPr="008F5C58" w:rsidRDefault="008F5C58">
            <w:pPr>
              <w:rPr>
                <w:rFonts w:ascii="Arial" w:hAnsi="Arial"/>
                <w:szCs w:val="24"/>
              </w:rPr>
            </w:pPr>
            <w:r w:rsidRPr="008F5C58">
              <w:rPr>
                <w:rFonts w:ascii="Arial" w:hAnsi="Arial"/>
                <w:szCs w:val="24"/>
                <w:u w:val="single"/>
              </w:rPr>
              <w:t>Prior Learning Assessment</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F5C58" w:rsidRPr="008F5C58" w:rsidRDefault="008F5C58">
            <w:pPr>
              <w:rPr>
                <w:rFonts w:ascii="Arial" w:hAnsi="Arial"/>
                <w:szCs w:val="24"/>
              </w:rPr>
            </w:pPr>
          </w:p>
          <w:p w:rsidR="008F5C58" w:rsidRPr="008F5C58" w:rsidRDefault="008F5C58">
            <w:pPr>
              <w:rPr>
                <w:rFonts w:ascii="Arial" w:hAnsi="Arial"/>
                <w:szCs w:val="24"/>
              </w:rPr>
            </w:pPr>
            <w:r w:rsidRPr="008F5C58">
              <w:rPr>
                <w:rFonts w:ascii="Arial" w:hAnsi="Arial"/>
                <w:szCs w:val="24"/>
              </w:rPr>
              <w:t>Credit for prior learning will also be given upon successful completion of a challenge exam or portfolio.</w:t>
            </w:r>
          </w:p>
          <w:p w:rsidR="008F5C58" w:rsidRPr="008F5C58" w:rsidRDefault="008F5C58">
            <w:pPr>
              <w:rPr>
                <w:rFonts w:ascii="Arial" w:hAnsi="Arial"/>
                <w:szCs w:val="24"/>
              </w:rPr>
            </w:pPr>
          </w:p>
          <w:p w:rsidR="008F5C58" w:rsidRPr="008F5C58" w:rsidRDefault="008F5C58">
            <w:pPr>
              <w:rPr>
                <w:rFonts w:ascii="Arial" w:hAnsi="Arial"/>
                <w:szCs w:val="24"/>
              </w:rPr>
            </w:pPr>
            <w:r w:rsidRPr="008F5C58">
              <w:rPr>
                <w:rFonts w:ascii="Arial" w:hAnsi="Arial"/>
                <w:szCs w:val="24"/>
              </w:rPr>
              <w:t>Substitute course information is available in the Registrar's office.</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4.</w:t>
            </w:r>
          </w:p>
        </w:tc>
        <w:tc>
          <w:tcPr>
            <w:tcW w:w="8181" w:type="dxa"/>
          </w:tcPr>
          <w:p w:rsidR="008F5C58" w:rsidRPr="008F5C58" w:rsidRDefault="008F5C58">
            <w:pPr>
              <w:rPr>
                <w:rFonts w:ascii="Arial" w:hAnsi="Arial"/>
                <w:szCs w:val="24"/>
              </w:rPr>
            </w:pPr>
            <w:r w:rsidRPr="008F5C58">
              <w:rPr>
                <w:rFonts w:ascii="Arial" w:hAnsi="Arial"/>
                <w:szCs w:val="24"/>
                <w:u w:val="single"/>
              </w:rPr>
              <w:t>Accessibility Services</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5.</w:t>
            </w:r>
          </w:p>
        </w:tc>
        <w:tc>
          <w:tcPr>
            <w:tcW w:w="8181" w:type="dxa"/>
          </w:tcPr>
          <w:p w:rsidR="008F5C58" w:rsidRPr="008F5C58" w:rsidRDefault="008F5C58">
            <w:pPr>
              <w:rPr>
                <w:rFonts w:ascii="Arial" w:hAnsi="Arial"/>
                <w:szCs w:val="24"/>
              </w:rPr>
            </w:pPr>
            <w:r w:rsidRPr="008F5C58">
              <w:rPr>
                <w:rFonts w:ascii="Arial" w:hAnsi="Arial"/>
                <w:szCs w:val="24"/>
                <w:u w:val="single"/>
              </w:rPr>
              <w:t>Communication</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8F5C58">
              <w:rPr>
                <w:rFonts w:ascii="Arial" w:hAnsi="Arial"/>
                <w:szCs w:val="24"/>
              </w:rPr>
              <w:t>LMS</w:t>
            </w:r>
            <w:proofErr w:type="spellEnd"/>
            <w:r w:rsidRPr="008F5C58">
              <w:rPr>
                <w:rFonts w:ascii="Arial" w:hAnsi="Arial"/>
                <w:szCs w:val="24"/>
              </w:rPr>
              <w:t>) communication tool.</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6.</w:t>
            </w:r>
          </w:p>
        </w:tc>
        <w:tc>
          <w:tcPr>
            <w:tcW w:w="8181" w:type="dxa"/>
          </w:tcPr>
          <w:p w:rsidR="008F5C58" w:rsidRPr="008F5C58" w:rsidRDefault="008F5C58">
            <w:pPr>
              <w:rPr>
                <w:rFonts w:ascii="Arial" w:hAnsi="Arial"/>
                <w:szCs w:val="24"/>
              </w:rPr>
            </w:pPr>
            <w:r w:rsidRPr="008F5C58">
              <w:rPr>
                <w:rFonts w:ascii="Arial" w:hAnsi="Arial"/>
                <w:szCs w:val="24"/>
                <w:u w:val="single"/>
              </w:rPr>
              <w:t>Academic Dishonesty</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7.</w:t>
            </w:r>
          </w:p>
        </w:tc>
        <w:tc>
          <w:tcPr>
            <w:tcW w:w="8181" w:type="dxa"/>
          </w:tcPr>
          <w:p w:rsidR="008F5C58" w:rsidRPr="008F5C58" w:rsidRDefault="008F5C58">
            <w:pPr>
              <w:rPr>
                <w:rFonts w:ascii="Arial" w:hAnsi="Arial"/>
                <w:szCs w:val="24"/>
              </w:rPr>
            </w:pPr>
            <w:r w:rsidRPr="008F5C58">
              <w:rPr>
                <w:rFonts w:ascii="Arial" w:hAnsi="Arial"/>
                <w:szCs w:val="24"/>
              </w:rPr>
              <w:t>Tuition Default:</w:t>
            </w:r>
          </w:p>
          <w:p w:rsidR="008F5C58" w:rsidRPr="008F5C58" w:rsidRDefault="008F5C58">
            <w:pPr>
              <w:rPr>
                <w:rFonts w:ascii="Arial" w:hAnsi="Arial"/>
                <w:szCs w:val="24"/>
              </w:rPr>
            </w:pPr>
            <w:r w:rsidRPr="008F5C58">
              <w:rPr>
                <w:rFonts w:ascii="Arial" w:hAnsi="Arial"/>
                <w:szCs w:val="24"/>
              </w:rPr>
              <w:t xml:space="preserve">Students who have defaulted on the payment of tuition (tuition has not been paid in full, payments were not deferred or payment plan not </w:t>
            </w:r>
            <w:proofErr w:type="spellStart"/>
            <w:r w:rsidRPr="008F5C58">
              <w:rPr>
                <w:rFonts w:ascii="Arial" w:hAnsi="Arial"/>
                <w:szCs w:val="24"/>
              </w:rPr>
              <w:t>honoured</w:t>
            </w:r>
            <w:proofErr w:type="spellEnd"/>
            <w:r w:rsidRPr="008F5C58">
              <w:rPr>
                <w:rFonts w:ascii="Arial" w:hAnsi="Arial"/>
                <w:szCs w:val="24"/>
              </w:rPr>
              <w:t xml:space="preserve">) as </w:t>
            </w:r>
            <w:bookmarkStart w:id="1" w:name="Dropdown2"/>
            <w:r w:rsidRPr="008F5C58">
              <w:rPr>
                <w:rFonts w:ascii="Arial" w:hAnsi="Arial"/>
                <w:szCs w:val="24"/>
              </w:rPr>
              <w:t xml:space="preserve">of the first week of </w:t>
            </w:r>
            <w:bookmarkEnd w:id="1"/>
            <w:r w:rsidRPr="008F5C58">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8.</w:t>
            </w:r>
          </w:p>
        </w:tc>
        <w:tc>
          <w:tcPr>
            <w:tcW w:w="8181" w:type="dxa"/>
          </w:tcPr>
          <w:p w:rsidR="008F5C58" w:rsidRPr="008F5C58" w:rsidRDefault="008F5C58">
            <w:pPr>
              <w:rPr>
                <w:rFonts w:ascii="Arial" w:hAnsi="Arial"/>
                <w:szCs w:val="24"/>
              </w:rPr>
            </w:pPr>
            <w:r w:rsidRPr="008F5C58">
              <w:rPr>
                <w:rFonts w:ascii="Arial" w:hAnsi="Arial"/>
                <w:szCs w:val="24"/>
                <w:u w:val="single"/>
              </w:rPr>
              <w:t>Student Portal</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 xml:space="preserve">The Sault College portal allows you to view all your student information in one place. </w:t>
            </w:r>
            <w:proofErr w:type="spellStart"/>
            <w:proofErr w:type="gramStart"/>
            <w:r w:rsidRPr="008F5C58">
              <w:rPr>
                <w:rFonts w:ascii="Arial" w:hAnsi="Arial"/>
                <w:szCs w:val="24"/>
              </w:rPr>
              <w:t>mysaultcollege</w:t>
            </w:r>
            <w:proofErr w:type="spellEnd"/>
            <w:proofErr w:type="gramEnd"/>
            <w:r w:rsidRPr="008F5C58">
              <w:rPr>
                <w:rFonts w:ascii="Arial" w:hAnsi="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F5C58">
              <w:rPr>
                <w:rFonts w:ascii="Arial" w:hAnsi="Arial"/>
                <w:szCs w:val="24"/>
              </w:rPr>
              <w:t>your</w:t>
            </w:r>
            <w:proofErr w:type="spellEnd"/>
            <w:r w:rsidRPr="008F5C58">
              <w:rPr>
                <w:rFonts w:ascii="Arial" w:hAnsi="Arial"/>
                <w:szCs w:val="24"/>
              </w:rPr>
              <w:t xml:space="preserve"> learning management system (</w:t>
            </w:r>
            <w:proofErr w:type="spellStart"/>
            <w:r w:rsidRPr="008F5C58">
              <w:rPr>
                <w:rFonts w:ascii="Arial" w:hAnsi="Arial"/>
                <w:szCs w:val="24"/>
              </w:rPr>
              <w:t>LMS</w:t>
            </w:r>
            <w:proofErr w:type="spellEnd"/>
            <w:r w:rsidRPr="008F5C58">
              <w:rPr>
                <w:rFonts w:ascii="Arial" w:hAnsi="Arial"/>
                <w:szCs w:val="24"/>
              </w:rPr>
              <w:t xml:space="preserve">), and much more.  Go to </w:t>
            </w:r>
            <w:hyperlink r:id="rId9" w:history="1">
              <w:r w:rsidRPr="008F5C58">
                <w:rPr>
                  <w:rStyle w:val="Hyperlink"/>
                  <w:rFonts w:ascii="Arial" w:hAnsi="Arial"/>
                  <w:szCs w:val="24"/>
                </w:rPr>
                <w:t>https://my.saultcollege.ca</w:t>
              </w:r>
            </w:hyperlink>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 xml:space="preserve"> </w:t>
            </w: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9.</w:t>
            </w:r>
          </w:p>
        </w:tc>
        <w:tc>
          <w:tcPr>
            <w:tcW w:w="8181" w:type="dxa"/>
          </w:tcPr>
          <w:p w:rsidR="008F5C58" w:rsidRPr="008F5C58" w:rsidRDefault="008F5C58">
            <w:pPr>
              <w:rPr>
                <w:rFonts w:ascii="Arial" w:hAnsi="Arial"/>
                <w:szCs w:val="24"/>
              </w:rPr>
            </w:pPr>
            <w:r w:rsidRPr="008F5C58">
              <w:rPr>
                <w:rFonts w:ascii="Arial" w:hAnsi="Arial"/>
                <w:szCs w:val="24"/>
                <w:u w:val="single"/>
              </w:rPr>
              <w:t>Recording Devices in the Classroom</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8F5C58" w:rsidRPr="008F5C58" w:rsidRDefault="008F5C58">
            <w:pPr>
              <w:rPr>
                <w:rFonts w:ascii="Arial" w:hAnsi="Arial"/>
                <w:szCs w:val="24"/>
              </w:rPr>
            </w:pPr>
          </w:p>
        </w:tc>
      </w:tr>
    </w:tbl>
    <w:p w:rsidR="00D1300B" w:rsidRPr="008F5C58" w:rsidRDefault="00D1300B">
      <w:pPr>
        <w:pStyle w:val="EnvelopeReturn"/>
        <w:rPr>
          <w:szCs w:val="24"/>
        </w:rPr>
      </w:pPr>
    </w:p>
    <w:sectPr w:rsidR="00D1300B" w:rsidRPr="008F5C58" w:rsidSect="00165BA6">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521" w:rsidRDefault="00683521">
      <w:r>
        <w:separator/>
      </w:r>
    </w:p>
  </w:endnote>
  <w:endnote w:type="continuationSeparator" w:id="0">
    <w:p w:rsidR="00683521" w:rsidRDefault="0068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521" w:rsidRDefault="00683521">
      <w:r>
        <w:separator/>
      </w:r>
    </w:p>
  </w:footnote>
  <w:footnote w:type="continuationSeparator" w:id="0">
    <w:p w:rsidR="00683521" w:rsidRDefault="0068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53" w:rsidRDefault="00425D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25D53" w:rsidRDefault="00425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53" w:rsidRDefault="00425D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5C5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25D53">
      <w:tc>
        <w:tcPr>
          <w:tcW w:w="3794" w:type="dxa"/>
        </w:tcPr>
        <w:p w:rsidR="00425D53" w:rsidRDefault="00425D53">
          <w:pPr>
            <w:rPr>
              <w:rFonts w:ascii="Arial" w:hAnsi="Arial"/>
              <w:snapToGrid w:val="0"/>
            </w:rPr>
          </w:pPr>
        </w:p>
      </w:tc>
      <w:tc>
        <w:tcPr>
          <w:tcW w:w="1134" w:type="dxa"/>
        </w:tcPr>
        <w:p w:rsidR="00425D53" w:rsidRDefault="00425D53">
          <w:pPr>
            <w:pStyle w:val="Header"/>
            <w:jc w:val="center"/>
            <w:rPr>
              <w:rFonts w:ascii="Arial" w:hAnsi="Arial"/>
              <w:snapToGrid w:val="0"/>
            </w:rPr>
          </w:pPr>
        </w:p>
      </w:tc>
      <w:tc>
        <w:tcPr>
          <w:tcW w:w="3928" w:type="dxa"/>
        </w:tcPr>
        <w:p w:rsidR="00425D53" w:rsidRDefault="00425D53">
          <w:pPr>
            <w:pStyle w:val="Header"/>
            <w:jc w:val="right"/>
            <w:rPr>
              <w:rFonts w:ascii="Arial" w:hAnsi="Arial"/>
              <w:snapToGrid w:val="0"/>
            </w:rPr>
          </w:pPr>
        </w:p>
      </w:tc>
    </w:tr>
    <w:tr w:rsidR="00425D53">
      <w:tc>
        <w:tcPr>
          <w:tcW w:w="3794" w:type="dxa"/>
        </w:tcPr>
        <w:p w:rsidR="00425D53" w:rsidRDefault="00425D53">
          <w:pPr>
            <w:rPr>
              <w:rFonts w:ascii="Arial" w:hAnsi="Arial"/>
              <w:snapToGrid w:val="0"/>
            </w:rPr>
          </w:pPr>
          <w:r>
            <w:rPr>
              <w:rFonts w:ascii="Arial" w:hAnsi="Arial"/>
              <w:snapToGrid w:val="0"/>
            </w:rPr>
            <w:t>Nursing Research II</w:t>
          </w:r>
        </w:p>
        <w:p w:rsidR="00425D53" w:rsidRDefault="00425D53">
          <w:pPr>
            <w:rPr>
              <w:rFonts w:ascii="Arial" w:hAnsi="Arial"/>
              <w:snapToGrid w:val="0"/>
            </w:rPr>
          </w:pPr>
        </w:p>
      </w:tc>
      <w:tc>
        <w:tcPr>
          <w:tcW w:w="1134" w:type="dxa"/>
        </w:tcPr>
        <w:p w:rsidR="00425D53" w:rsidRDefault="00425D53">
          <w:pPr>
            <w:pStyle w:val="Header"/>
            <w:jc w:val="center"/>
            <w:rPr>
              <w:rFonts w:ascii="Arial" w:hAnsi="Arial"/>
              <w:snapToGrid w:val="0"/>
            </w:rPr>
          </w:pPr>
        </w:p>
      </w:tc>
      <w:tc>
        <w:tcPr>
          <w:tcW w:w="3928" w:type="dxa"/>
        </w:tcPr>
        <w:p w:rsidR="00425D53" w:rsidRDefault="00425D53">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4416</w:t>
          </w:r>
        </w:p>
      </w:tc>
    </w:tr>
  </w:tbl>
  <w:p w:rsidR="00425D53" w:rsidRDefault="00425D53" w:rsidP="00F06F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1DA45C1"/>
    <w:multiLevelType w:val="hybridMultilevel"/>
    <w:tmpl w:val="EADC8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DAF6D2F"/>
    <w:multiLevelType w:val="hybridMultilevel"/>
    <w:tmpl w:val="E38AA6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7655F4"/>
    <w:multiLevelType w:val="hybridMultilevel"/>
    <w:tmpl w:val="3364D094"/>
    <w:lvl w:ilvl="0" w:tplc="6666CA6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E51"/>
    <w:rsid w:val="00021138"/>
    <w:rsid w:val="00024279"/>
    <w:rsid w:val="00030A8F"/>
    <w:rsid w:val="000348A5"/>
    <w:rsid w:val="0004491B"/>
    <w:rsid w:val="000703D2"/>
    <w:rsid w:val="00083821"/>
    <w:rsid w:val="00100E90"/>
    <w:rsid w:val="00103188"/>
    <w:rsid w:val="00111A4D"/>
    <w:rsid w:val="0013201F"/>
    <w:rsid w:val="001428EB"/>
    <w:rsid w:val="00155276"/>
    <w:rsid w:val="00157B66"/>
    <w:rsid w:val="00165BA6"/>
    <w:rsid w:val="00177078"/>
    <w:rsid w:val="001B72EE"/>
    <w:rsid w:val="001C1F0A"/>
    <w:rsid w:val="00207859"/>
    <w:rsid w:val="002267F4"/>
    <w:rsid w:val="00236223"/>
    <w:rsid w:val="00243994"/>
    <w:rsid w:val="00283F8A"/>
    <w:rsid w:val="00295232"/>
    <w:rsid w:val="002A6204"/>
    <w:rsid w:val="002C74F9"/>
    <w:rsid w:val="002D0F95"/>
    <w:rsid w:val="002D240A"/>
    <w:rsid w:val="003043D0"/>
    <w:rsid w:val="00366709"/>
    <w:rsid w:val="00371039"/>
    <w:rsid w:val="003A0238"/>
    <w:rsid w:val="003B29CE"/>
    <w:rsid w:val="003B48E6"/>
    <w:rsid w:val="003B5AAC"/>
    <w:rsid w:val="003C6833"/>
    <w:rsid w:val="003D0B70"/>
    <w:rsid w:val="003D5562"/>
    <w:rsid w:val="003E06D1"/>
    <w:rsid w:val="003E1CC0"/>
    <w:rsid w:val="004213A8"/>
    <w:rsid w:val="00425D53"/>
    <w:rsid w:val="00441ECC"/>
    <w:rsid w:val="00455859"/>
    <w:rsid w:val="00473DCF"/>
    <w:rsid w:val="00497B5F"/>
    <w:rsid w:val="004A1001"/>
    <w:rsid w:val="004A1FD2"/>
    <w:rsid w:val="004B04BD"/>
    <w:rsid w:val="004D28EB"/>
    <w:rsid w:val="004E04BB"/>
    <w:rsid w:val="004E298B"/>
    <w:rsid w:val="004F7354"/>
    <w:rsid w:val="00502FF6"/>
    <w:rsid w:val="00532940"/>
    <w:rsid w:val="00533537"/>
    <w:rsid w:val="005365CD"/>
    <w:rsid w:val="00544684"/>
    <w:rsid w:val="005546C7"/>
    <w:rsid w:val="0056705E"/>
    <w:rsid w:val="005719A5"/>
    <w:rsid w:val="00591441"/>
    <w:rsid w:val="005A28BC"/>
    <w:rsid w:val="005B400E"/>
    <w:rsid w:val="005C10A6"/>
    <w:rsid w:val="005F2940"/>
    <w:rsid w:val="005F5536"/>
    <w:rsid w:val="00611DFF"/>
    <w:rsid w:val="00613807"/>
    <w:rsid w:val="00616E81"/>
    <w:rsid w:val="00626C24"/>
    <w:rsid w:val="00665F4F"/>
    <w:rsid w:val="0068020F"/>
    <w:rsid w:val="00683521"/>
    <w:rsid w:val="00700A3C"/>
    <w:rsid w:val="00721404"/>
    <w:rsid w:val="00721FF2"/>
    <w:rsid w:val="00723208"/>
    <w:rsid w:val="00754E67"/>
    <w:rsid w:val="00765AC0"/>
    <w:rsid w:val="007A0698"/>
    <w:rsid w:val="007E6621"/>
    <w:rsid w:val="007F132C"/>
    <w:rsid w:val="007F73A4"/>
    <w:rsid w:val="00807801"/>
    <w:rsid w:val="00817A12"/>
    <w:rsid w:val="008228E6"/>
    <w:rsid w:val="00862656"/>
    <w:rsid w:val="00866069"/>
    <w:rsid w:val="00867048"/>
    <w:rsid w:val="008C6C43"/>
    <w:rsid w:val="008F5C58"/>
    <w:rsid w:val="00917B09"/>
    <w:rsid w:val="00970AB1"/>
    <w:rsid w:val="00975357"/>
    <w:rsid w:val="009B5B24"/>
    <w:rsid w:val="00A01D87"/>
    <w:rsid w:val="00A023DB"/>
    <w:rsid w:val="00A648DF"/>
    <w:rsid w:val="00A85995"/>
    <w:rsid w:val="00A9176F"/>
    <w:rsid w:val="00A97B10"/>
    <w:rsid w:val="00AC5756"/>
    <w:rsid w:val="00B13A2E"/>
    <w:rsid w:val="00B326A5"/>
    <w:rsid w:val="00B50404"/>
    <w:rsid w:val="00B656F9"/>
    <w:rsid w:val="00B778BA"/>
    <w:rsid w:val="00B80C52"/>
    <w:rsid w:val="00B82DA3"/>
    <w:rsid w:val="00B835FC"/>
    <w:rsid w:val="00BA119A"/>
    <w:rsid w:val="00BA318C"/>
    <w:rsid w:val="00BC7832"/>
    <w:rsid w:val="00C0550E"/>
    <w:rsid w:val="00C16A6E"/>
    <w:rsid w:val="00C53F7E"/>
    <w:rsid w:val="00C64591"/>
    <w:rsid w:val="00C736F8"/>
    <w:rsid w:val="00C7381E"/>
    <w:rsid w:val="00C87B5D"/>
    <w:rsid w:val="00C97440"/>
    <w:rsid w:val="00C97897"/>
    <w:rsid w:val="00CA0F4D"/>
    <w:rsid w:val="00CA4A39"/>
    <w:rsid w:val="00CB4EB0"/>
    <w:rsid w:val="00CC06A1"/>
    <w:rsid w:val="00D0747E"/>
    <w:rsid w:val="00D1300B"/>
    <w:rsid w:val="00D41E2E"/>
    <w:rsid w:val="00D91C8E"/>
    <w:rsid w:val="00DB0FFE"/>
    <w:rsid w:val="00DC1839"/>
    <w:rsid w:val="00E25868"/>
    <w:rsid w:val="00E64F95"/>
    <w:rsid w:val="00E8152E"/>
    <w:rsid w:val="00E824A4"/>
    <w:rsid w:val="00E86FF6"/>
    <w:rsid w:val="00E93300"/>
    <w:rsid w:val="00EA66A7"/>
    <w:rsid w:val="00EE22D9"/>
    <w:rsid w:val="00EE6E49"/>
    <w:rsid w:val="00EF4EC9"/>
    <w:rsid w:val="00F0236B"/>
    <w:rsid w:val="00F06F42"/>
    <w:rsid w:val="00F430A9"/>
    <w:rsid w:val="00F93B21"/>
    <w:rsid w:val="00F97257"/>
    <w:rsid w:val="00FA74DA"/>
    <w:rsid w:val="00FC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uiPriority w:val="99"/>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 w:type="table" w:styleId="TableGrid">
    <w:name w:val="Table Grid"/>
    <w:basedOn w:val="TableNormal"/>
    <w:uiPriority w:val="99"/>
    <w:rsid w:val="000838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uiPriority w:val="99"/>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 w:type="table" w:styleId="TableGrid">
    <w:name w:val="Table Grid"/>
    <w:basedOn w:val="TableNormal"/>
    <w:uiPriority w:val="99"/>
    <w:rsid w:val="000838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3338163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71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18C1A-F3D2-4257-A74A-535C08005125}"/>
</file>

<file path=customXml/itemProps2.xml><?xml version="1.0" encoding="utf-8"?>
<ds:datastoreItem xmlns:ds="http://schemas.openxmlformats.org/officeDocument/2006/customXml" ds:itemID="{97BE4E5D-C706-4B6A-AD01-9299926416EB}"/>
</file>

<file path=customXml/itemProps3.xml><?xml version="1.0" encoding="utf-8"?>
<ds:datastoreItem xmlns:ds="http://schemas.openxmlformats.org/officeDocument/2006/customXml" ds:itemID="{5BE19A68-6DF2-4BAE-AE2B-7CC60E92C4BD}"/>
</file>

<file path=docProps/app.xml><?xml version="1.0" encoding="utf-8"?>
<Properties xmlns="http://schemas.openxmlformats.org/officeDocument/2006/extended-properties" xmlns:vt="http://schemas.openxmlformats.org/officeDocument/2006/docPropsVTypes">
  <Template>Normal.dotm</Template>
  <TotalTime>45</TotalTime>
  <Pages>7</Pages>
  <Words>1735</Words>
  <Characters>10271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11</cp:revision>
  <cp:lastPrinted>2014-08-07T16:27:00Z</cp:lastPrinted>
  <dcterms:created xsi:type="dcterms:W3CDTF">2014-05-23T18:29:00Z</dcterms:created>
  <dcterms:modified xsi:type="dcterms:W3CDTF">2014-08-07T16:27:00Z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5027000</vt:r8>
  </property>
</Properties>
</file>